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DE502E" w14:textId="35FCD4F8" w:rsidR="00F12461" w:rsidRDefault="00C33BC7" w:rsidP="00F12461">
      <w:pPr>
        <w:pStyle w:val="Bodycopy"/>
        <w:spacing w:after="0" w:line="276" w:lineRule="auto"/>
        <w:jc w:val="center"/>
        <w:rPr>
          <w:rFonts w:ascii="Arial" w:hAnsi="Arial"/>
          <w:b/>
          <w:bCs/>
          <w:color w:val="005758"/>
          <w:sz w:val="28"/>
          <w:szCs w:val="28"/>
          <w:lang w:bidi="en-US"/>
        </w:rPr>
      </w:pPr>
      <w:r>
        <w:rPr>
          <w:rFonts w:ascii="Arial" w:hAnsi="Arial"/>
          <w:b/>
          <w:bCs/>
          <w:color w:val="005758"/>
          <w:sz w:val="28"/>
          <w:szCs w:val="28"/>
        </w:rPr>
        <w:t xml:space="preserve">OMNIA Partners </w:t>
      </w:r>
      <w:r w:rsidR="00F12461">
        <w:rPr>
          <w:rFonts w:ascii="Arial" w:hAnsi="Arial"/>
          <w:b/>
          <w:bCs/>
          <w:color w:val="005758"/>
          <w:sz w:val="28"/>
          <w:szCs w:val="28"/>
        </w:rPr>
        <w:t>#</w:t>
      </w:r>
      <w:r w:rsidR="00F12461" w:rsidRPr="00F12461">
        <w:rPr>
          <w:rFonts w:ascii="Times New Roman" w:eastAsia="Times New Roman" w:hAnsi="Times New Roman" w:cs="Times New Roman"/>
          <w:color w:val="auto"/>
          <w:lang w:bidi="en-US"/>
        </w:rPr>
        <w:t xml:space="preserve"> </w:t>
      </w:r>
      <w:r w:rsidR="00F12461" w:rsidRPr="00F12461">
        <w:rPr>
          <w:rFonts w:ascii="Arial" w:hAnsi="Arial"/>
          <w:b/>
          <w:bCs/>
          <w:color w:val="005758"/>
          <w:sz w:val="28"/>
          <w:szCs w:val="28"/>
          <w:lang w:bidi="en-US"/>
        </w:rPr>
        <w:t>R250307</w:t>
      </w:r>
      <w:r w:rsidR="00F12461">
        <w:rPr>
          <w:rFonts w:ascii="Arial" w:hAnsi="Arial"/>
          <w:b/>
          <w:bCs/>
          <w:color w:val="005758"/>
          <w:sz w:val="28"/>
          <w:szCs w:val="28"/>
          <w:lang w:bidi="en-US"/>
        </w:rPr>
        <w:t xml:space="preserve"> Cyber Security Solutions </w:t>
      </w:r>
    </w:p>
    <w:p w14:paraId="50C38FBE" w14:textId="7F6D6679" w:rsidR="007A6A66" w:rsidRDefault="007A6A66" w:rsidP="001F16D8">
      <w:pPr>
        <w:pStyle w:val="Bodycopy"/>
        <w:spacing w:after="0" w:line="276" w:lineRule="auto"/>
        <w:rPr>
          <w:rFonts w:ascii="Arial" w:hAnsi="Arial"/>
          <w:b/>
          <w:bCs/>
          <w:color w:val="005758"/>
          <w:sz w:val="28"/>
          <w:szCs w:val="28"/>
        </w:rPr>
      </w:pPr>
    </w:p>
    <w:p w14:paraId="726FA70B" w14:textId="495C3993" w:rsidR="007A6A66" w:rsidRPr="00871667" w:rsidRDefault="001C24DD" w:rsidP="005050B8">
      <w:pPr>
        <w:pStyle w:val="Bodycopy"/>
        <w:spacing w:after="0" w:line="276" w:lineRule="auto"/>
        <w:jc w:val="center"/>
        <w:rPr>
          <w:sz w:val="20"/>
          <w:szCs w:val="20"/>
        </w:rPr>
      </w:pPr>
      <w:r w:rsidRPr="00871667">
        <w:rPr>
          <w:sz w:val="20"/>
          <w:szCs w:val="20"/>
        </w:rPr>
        <w:t xml:space="preserve">Awarded </w:t>
      </w:r>
      <w:r w:rsidR="007A6A66">
        <w:rPr>
          <w:sz w:val="20"/>
          <w:szCs w:val="20"/>
        </w:rPr>
        <w:t>October</w:t>
      </w:r>
      <w:r w:rsidR="00C123AA" w:rsidRPr="00871667">
        <w:rPr>
          <w:sz w:val="20"/>
          <w:szCs w:val="20"/>
        </w:rPr>
        <w:t xml:space="preserve"> </w:t>
      </w:r>
      <w:r w:rsidRPr="00871667">
        <w:rPr>
          <w:sz w:val="20"/>
          <w:szCs w:val="20"/>
        </w:rPr>
        <w:t>1</w:t>
      </w:r>
      <w:r w:rsidR="00C123AA" w:rsidRPr="00871667">
        <w:rPr>
          <w:sz w:val="20"/>
          <w:szCs w:val="20"/>
        </w:rPr>
        <w:t>, 202</w:t>
      </w:r>
      <w:r w:rsidR="001F16D8">
        <w:rPr>
          <w:sz w:val="20"/>
          <w:szCs w:val="20"/>
        </w:rPr>
        <w:t>5</w:t>
      </w:r>
      <w:r w:rsidR="00C123AA" w:rsidRPr="00871667">
        <w:rPr>
          <w:sz w:val="20"/>
          <w:szCs w:val="20"/>
        </w:rPr>
        <w:t xml:space="preserve"> – </w:t>
      </w:r>
      <w:r w:rsidR="00F60A7F">
        <w:rPr>
          <w:sz w:val="20"/>
          <w:szCs w:val="20"/>
        </w:rPr>
        <w:t>Final Expiration</w:t>
      </w:r>
      <w:r w:rsidR="00F12461">
        <w:rPr>
          <w:sz w:val="20"/>
          <w:szCs w:val="20"/>
        </w:rPr>
        <w:t xml:space="preserve"> September 30, 2030</w:t>
      </w:r>
      <w:r w:rsidRPr="00871667">
        <w:rPr>
          <w:sz w:val="20"/>
          <w:szCs w:val="20"/>
        </w:rPr>
        <w:t xml:space="preserve"> </w:t>
      </w:r>
    </w:p>
    <w:p w14:paraId="54999B47" w14:textId="07CF5578" w:rsidR="001C24DD" w:rsidRPr="00F12461" w:rsidRDefault="003A16C2" w:rsidP="00F12461">
      <w:pPr>
        <w:spacing w:line="276" w:lineRule="auto"/>
        <w:jc w:val="center"/>
        <w:rPr>
          <w:rFonts w:ascii="Georgia Pro" w:eastAsiaTheme="minorHAnsi" w:hAnsi="Georgia Pro" w:cs="Arial"/>
          <w:color w:val="171717" w:themeColor="background2" w:themeShade="1A"/>
          <w:sz w:val="20"/>
          <w:szCs w:val="20"/>
          <w:lang w:bidi="ar-SA"/>
        </w:rPr>
      </w:pPr>
      <w:r w:rsidRPr="00871667">
        <w:rPr>
          <w:rFonts w:ascii="Georgia Pro" w:eastAsiaTheme="minorHAnsi" w:hAnsi="Georgia Pro" w:cs="Arial"/>
          <w:color w:val="171717" w:themeColor="background2" w:themeShade="1A"/>
          <w:sz w:val="20"/>
          <w:szCs w:val="20"/>
          <w:lang w:bidi="ar-SA"/>
        </w:rPr>
        <w:t xml:space="preserve">Team Contact: </w:t>
      </w:r>
      <w:r w:rsidR="00675C86">
        <w:rPr>
          <w:rFonts w:ascii="Georgia Pro" w:eastAsiaTheme="minorHAnsi" w:hAnsi="Georgia Pro" w:cs="Arial"/>
          <w:color w:val="171717" w:themeColor="background2" w:themeShade="1A"/>
          <w:sz w:val="20"/>
          <w:szCs w:val="20"/>
          <w:lang w:bidi="ar-SA"/>
        </w:rPr>
        <w:t>OMNIA</w:t>
      </w:r>
      <w:r w:rsidRPr="00871667">
        <w:rPr>
          <w:rFonts w:ascii="Georgia Pro" w:eastAsiaTheme="minorHAnsi" w:hAnsi="Georgia Pro" w:cs="Arial"/>
          <w:color w:val="171717" w:themeColor="background2" w:themeShade="1A"/>
          <w:sz w:val="20"/>
          <w:szCs w:val="20"/>
          <w:lang w:bidi="ar-SA"/>
        </w:rPr>
        <w:t>@</w:t>
      </w:r>
      <w:r w:rsidR="001C24DD" w:rsidRPr="00871667">
        <w:rPr>
          <w:rFonts w:ascii="Georgia Pro" w:eastAsiaTheme="minorHAnsi" w:hAnsi="Georgia Pro" w:cs="Arial"/>
          <w:color w:val="171717" w:themeColor="background2" w:themeShade="1A"/>
          <w:sz w:val="20"/>
          <w:szCs w:val="20"/>
          <w:lang w:bidi="ar-SA"/>
        </w:rPr>
        <w:t>tdsynnex</w:t>
      </w:r>
      <w:r w:rsidRPr="00871667">
        <w:rPr>
          <w:rFonts w:ascii="Georgia Pro" w:eastAsiaTheme="minorHAnsi" w:hAnsi="Georgia Pro" w:cs="Arial"/>
          <w:color w:val="171717" w:themeColor="background2" w:themeShade="1A"/>
          <w:sz w:val="20"/>
          <w:szCs w:val="20"/>
          <w:lang w:bidi="ar-SA"/>
        </w:rPr>
        <w:t>.com</w:t>
      </w:r>
    </w:p>
    <w:p w14:paraId="7FB66569" w14:textId="77777777" w:rsidR="007A6A66" w:rsidRPr="007A6A66" w:rsidRDefault="007A6A66" w:rsidP="005050B8">
      <w:pPr>
        <w:pStyle w:val="Bodycopy"/>
        <w:spacing w:before="240" w:after="0" w:line="276" w:lineRule="auto"/>
        <w:rPr>
          <w:sz w:val="20"/>
          <w:szCs w:val="20"/>
        </w:rPr>
      </w:pPr>
      <w:r w:rsidRPr="007A6A66">
        <w:rPr>
          <w:sz w:val="20"/>
          <w:szCs w:val="20"/>
        </w:rPr>
        <w:t>OMNIA Partners Public Sector is the nation’s largest and most experienced cooperative purchasing organization dedicated to public sector procurement. Our immense purchasing power and industry-leading suppliers have produced a comprehensive portfolio of cooperative contracts and partnerships, making OMNIA Partners the most valued and trusted resource for organizations nationwide.</w:t>
      </w:r>
    </w:p>
    <w:p w14:paraId="135D6D5A" w14:textId="77777777" w:rsidR="007A6A66" w:rsidRPr="007A6A66" w:rsidRDefault="007A6A66" w:rsidP="005050B8">
      <w:pPr>
        <w:pStyle w:val="Bodycopy"/>
        <w:spacing w:after="0" w:line="276" w:lineRule="auto"/>
        <w:rPr>
          <w:sz w:val="20"/>
          <w:szCs w:val="20"/>
        </w:rPr>
      </w:pPr>
      <w:r w:rsidRPr="007A6A66">
        <w:rPr>
          <w:sz w:val="20"/>
          <w:szCs w:val="20"/>
        </w:rPr>
        <w:t>Through the economies of scale created by OMNIA Partners, our participants now have access to an extensive portfolio of competitively solicited and publicly awarded agreements. The lead agency contracting process continues to be the foundation on which we are founded.  OMNIA Partners is proud to offer more value and resources to state and local government, higher education, K-12 education, and non-profits.</w:t>
      </w:r>
    </w:p>
    <w:p w14:paraId="346E5B69" w14:textId="55E84EEB" w:rsidR="008128C5" w:rsidRPr="00871667" w:rsidRDefault="008128C5" w:rsidP="005050B8">
      <w:pPr>
        <w:pStyle w:val="SectionHeaders"/>
        <w:spacing w:before="240" w:after="0" w:line="276" w:lineRule="auto"/>
        <w:rPr>
          <w:sz w:val="22"/>
          <w:szCs w:val="22"/>
        </w:rPr>
      </w:pPr>
      <w:r w:rsidRPr="00871667">
        <w:rPr>
          <w:sz w:val="22"/>
          <w:szCs w:val="22"/>
        </w:rPr>
        <w:t xml:space="preserve">Who Can Use </w:t>
      </w:r>
      <w:r w:rsidR="007A6A66">
        <w:rPr>
          <w:sz w:val="22"/>
          <w:szCs w:val="22"/>
        </w:rPr>
        <w:t>OMNIA Partners</w:t>
      </w:r>
      <w:r w:rsidRPr="00871667">
        <w:rPr>
          <w:sz w:val="22"/>
          <w:szCs w:val="22"/>
        </w:rPr>
        <w:t>?</w:t>
      </w:r>
    </w:p>
    <w:p w14:paraId="08B59208" w14:textId="3FCE7B1C" w:rsidR="008128C5" w:rsidRPr="00871667" w:rsidRDefault="009E48A6" w:rsidP="005328C7">
      <w:pPr>
        <w:pStyle w:val="Bodycopy"/>
        <w:spacing w:before="240" w:after="0" w:line="276" w:lineRule="auto"/>
        <w:rPr>
          <w:sz w:val="20"/>
          <w:szCs w:val="20"/>
        </w:rPr>
      </w:pPr>
      <w:r>
        <w:rPr>
          <w:sz w:val="20"/>
          <w:szCs w:val="20"/>
        </w:rPr>
        <w:t>OMNIA Partners</w:t>
      </w:r>
      <w:r w:rsidR="001C24DD" w:rsidRPr="00871667">
        <w:rPr>
          <w:sz w:val="20"/>
          <w:szCs w:val="20"/>
        </w:rPr>
        <w:t xml:space="preserve"> </w:t>
      </w:r>
      <w:r w:rsidR="008128C5" w:rsidRPr="00871667">
        <w:rPr>
          <w:sz w:val="20"/>
          <w:szCs w:val="20"/>
        </w:rPr>
        <w:t>membership is open to all public sector end-user entities, including:</w:t>
      </w:r>
    </w:p>
    <w:p w14:paraId="38AFE9F0" w14:textId="77777777" w:rsidR="008128C5" w:rsidRPr="00871667" w:rsidRDefault="008128C5" w:rsidP="005050B8">
      <w:pPr>
        <w:pStyle w:val="BodyCopyBullets"/>
        <w:numPr>
          <w:ilvl w:val="0"/>
          <w:numId w:val="4"/>
        </w:numPr>
        <w:spacing w:after="0" w:line="276" w:lineRule="auto"/>
        <w:ind w:left="360" w:hanging="180"/>
        <w:rPr>
          <w:sz w:val="20"/>
          <w:szCs w:val="20"/>
        </w:rPr>
      </w:pPr>
      <w:r w:rsidRPr="00871667">
        <w:rPr>
          <w:sz w:val="20"/>
          <w:szCs w:val="20"/>
        </w:rPr>
        <w:t>K-12 Entities</w:t>
      </w:r>
    </w:p>
    <w:p w14:paraId="4FAE7C65" w14:textId="77777777" w:rsidR="008128C5" w:rsidRPr="00871667" w:rsidRDefault="008128C5" w:rsidP="005050B8">
      <w:pPr>
        <w:pStyle w:val="BodyCopyBullets"/>
        <w:numPr>
          <w:ilvl w:val="0"/>
          <w:numId w:val="4"/>
        </w:numPr>
        <w:spacing w:after="0" w:line="276" w:lineRule="auto"/>
        <w:ind w:left="360" w:hanging="180"/>
        <w:rPr>
          <w:sz w:val="20"/>
          <w:szCs w:val="20"/>
        </w:rPr>
      </w:pPr>
      <w:r w:rsidRPr="00871667">
        <w:rPr>
          <w:sz w:val="20"/>
          <w:szCs w:val="20"/>
        </w:rPr>
        <w:t>Higher Education Entities</w:t>
      </w:r>
    </w:p>
    <w:p w14:paraId="73E71138" w14:textId="77777777" w:rsidR="001C24DD" w:rsidRPr="00871667" w:rsidRDefault="001C24DD" w:rsidP="005050B8">
      <w:pPr>
        <w:pStyle w:val="BodyCopyBullets"/>
        <w:numPr>
          <w:ilvl w:val="0"/>
          <w:numId w:val="4"/>
        </w:numPr>
        <w:spacing w:after="0" w:line="276" w:lineRule="auto"/>
        <w:ind w:left="360" w:hanging="180"/>
        <w:rPr>
          <w:sz w:val="20"/>
          <w:szCs w:val="20"/>
        </w:rPr>
      </w:pPr>
      <w:r w:rsidRPr="00871667">
        <w:rPr>
          <w:sz w:val="20"/>
          <w:szCs w:val="20"/>
        </w:rPr>
        <w:t>State/Province Governments</w:t>
      </w:r>
    </w:p>
    <w:p w14:paraId="028C8C15" w14:textId="77777777" w:rsidR="001C24DD" w:rsidRPr="00871667" w:rsidRDefault="001C24DD" w:rsidP="005050B8">
      <w:pPr>
        <w:pStyle w:val="BodyCopyBullets"/>
        <w:numPr>
          <w:ilvl w:val="0"/>
          <w:numId w:val="4"/>
        </w:numPr>
        <w:spacing w:after="0" w:line="276" w:lineRule="auto"/>
        <w:ind w:left="360" w:hanging="180"/>
        <w:rPr>
          <w:sz w:val="20"/>
          <w:szCs w:val="20"/>
        </w:rPr>
      </w:pPr>
      <w:r w:rsidRPr="00871667">
        <w:rPr>
          <w:sz w:val="20"/>
          <w:szCs w:val="20"/>
        </w:rPr>
        <w:t>Local Governments</w:t>
      </w:r>
    </w:p>
    <w:p w14:paraId="64E6A31F" w14:textId="77777777" w:rsidR="008128C5" w:rsidRPr="00871667" w:rsidRDefault="008128C5" w:rsidP="005050B8">
      <w:pPr>
        <w:pStyle w:val="BodyCopyBullets"/>
        <w:numPr>
          <w:ilvl w:val="0"/>
          <w:numId w:val="4"/>
        </w:numPr>
        <w:spacing w:after="0" w:line="276" w:lineRule="auto"/>
        <w:ind w:left="360" w:hanging="180"/>
        <w:rPr>
          <w:sz w:val="20"/>
          <w:szCs w:val="20"/>
        </w:rPr>
      </w:pPr>
      <w:r w:rsidRPr="00871667">
        <w:rPr>
          <w:sz w:val="20"/>
          <w:szCs w:val="20"/>
        </w:rPr>
        <w:t xml:space="preserve">Other Public Entities </w:t>
      </w:r>
      <w:r w:rsidR="001C24DD" w:rsidRPr="00871667">
        <w:rPr>
          <w:rFonts w:eastAsia="Times New Roman" w:cstheme="minorHAnsi"/>
          <w:color w:val="000000" w:themeColor="text1"/>
          <w:sz w:val="20"/>
          <w:szCs w:val="20"/>
        </w:rPr>
        <w:t>who would benefit from cost-savings associated with leveraging the purchasing power of a national cooperative contract, are also eligible for membership</w:t>
      </w:r>
      <w:r w:rsidR="001C24DD" w:rsidRPr="00871667">
        <w:rPr>
          <w:sz w:val="20"/>
          <w:szCs w:val="20"/>
        </w:rPr>
        <w:t>.</w:t>
      </w:r>
    </w:p>
    <w:p w14:paraId="26CF7F52" w14:textId="77777777" w:rsidR="008128C5" w:rsidRPr="00871667" w:rsidRDefault="008128C5" w:rsidP="005050B8">
      <w:pPr>
        <w:pStyle w:val="SectionHeaders"/>
        <w:spacing w:before="240" w:after="0" w:line="276" w:lineRule="auto"/>
        <w:rPr>
          <w:sz w:val="22"/>
          <w:szCs w:val="22"/>
        </w:rPr>
      </w:pPr>
      <w:r w:rsidRPr="00871667">
        <w:rPr>
          <w:sz w:val="22"/>
          <w:szCs w:val="22"/>
        </w:rPr>
        <w:t>Awarded Manufacturers</w:t>
      </w:r>
    </w:p>
    <w:p w14:paraId="1C05D360" w14:textId="28E1CF01" w:rsidR="00C33BC7" w:rsidRPr="00C33BC7" w:rsidRDefault="00C33BC7" w:rsidP="005328C7">
      <w:pPr>
        <w:pStyle w:val="Bodycopy"/>
        <w:spacing w:before="240" w:after="0" w:line="276" w:lineRule="auto"/>
        <w:rPr>
          <w:sz w:val="20"/>
          <w:szCs w:val="20"/>
        </w:rPr>
      </w:pPr>
      <w:r w:rsidRPr="00C33BC7">
        <w:rPr>
          <w:sz w:val="20"/>
          <w:szCs w:val="20"/>
        </w:rPr>
        <w:t>OMNIA Partners</w:t>
      </w:r>
      <w:r w:rsidR="009E48A6">
        <w:rPr>
          <w:sz w:val="20"/>
          <w:szCs w:val="20"/>
        </w:rPr>
        <w:t xml:space="preserve">, </w:t>
      </w:r>
      <w:r w:rsidRPr="00C33BC7">
        <w:rPr>
          <w:sz w:val="20"/>
          <w:szCs w:val="20"/>
        </w:rPr>
        <w:t>TD SYNNEX Contract #</w:t>
      </w:r>
      <w:r w:rsidR="00F12461" w:rsidRPr="00F12461">
        <w:t xml:space="preserve"> </w:t>
      </w:r>
      <w:r w:rsidR="00F12461" w:rsidRPr="00F12461">
        <w:rPr>
          <w:sz w:val="20"/>
          <w:szCs w:val="20"/>
        </w:rPr>
        <w:t xml:space="preserve">R250307 </w:t>
      </w:r>
      <w:r w:rsidR="00F12461">
        <w:rPr>
          <w:sz w:val="20"/>
          <w:szCs w:val="20"/>
        </w:rPr>
        <w:t xml:space="preserve">covers </w:t>
      </w:r>
      <w:r w:rsidRPr="00C33BC7">
        <w:rPr>
          <w:sz w:val="20"/>
          <w:szCs w:val="20"/>
        </w:rPr>
        <w:t xml:space="preserve">all vendor product lines available at TD SYNNEX.  TD SYNNEX and manufacturers’ standard commercial certifications / authorizations are required for participation, in addition to any requirements specific to Public Sector or this contract. </w:t>
      </w:r>
    </w:p>
    <w:p w14:paraId="14131A9E" w14:textId="132560F8" w:rsidR="00F96080" w:rsidRPr="00871667" w:rsidRDefault="008128C5" w:rsidP="005050B8">
      <w:pPr>
        <w:pStyle w:val="SectionHeaders"/>
        <w:spacing w:before="240" w:after="0" w:line="276" w:lineRule="auto"/>
        <w:rPr>
          <w:sz w:val="22"/>
          <w:szCs w:val="22"/>
        </w:rPr>
      </w:pPr>
      <w:r w:rsidRPr="00871667">
        <w:rPr>
          <w:sz w:val="22"/>
          <w:szCs w:val="22"/>
        </w:rPr>
        <w:t>Discounts / Product Offering</w:t>
      </w:r>
      <w:r w:rsidR="00C123AA" w:rsidRPr="00871667">
        <w:rPr>
          <w:sz w:val="22"/>
          <w:szCs w:val="22"/>
        </w:rPr>
        <w:t xml:space="preserve"> including Not</w:t>
      </w:r>
      <w:r w:rsidR="006A0A86" w:rsidRPr="00871667">
        <w:rPr>
          <w:sz w:val="22"/>
          <w:szCs w:val="22"/>
        </w:rPr>
        <w:t>-</w:t>
      </w:r>
      <w:r w:rsidR="00C123AA" w:rsidRPr="00871667">
        <w:rPr>
          <w:sz w:val="22"/>
          <w:szCs w:val="22"/>
        </w:rPr>
        <w:t>To</w:t>
      </w:r>
      <w:r w:rsidR="006A0A86" w:rsidRPr="00871667">
        <w:rPr>
          <w:sz w:val="22"/>
          <w:szCs w:val="22"/>
        </w:rPr>
        <w:t>-</w:t>
      </w:r>
      <w:r w:rsidR="00C123AA" w:rsidRPr="00871667">
        <w:rPr>
          <w:sz w:val="22"/>
          <w:szCs w:val="22"/>
        </w:rPr>
        <w:t>Exceed (NTE) Pricing</w:t>
      </w:r>
    </w:p>
    <w:p w14:paraId="3BF0E7B5" w14:textId="77777777" w:rsidR="00F4696A" w:rsidRDefault="008128C5" w:rsidP="005328C7">
      <w:pPr>
        <w:pStyle w:val="BodyCopyBullets"/>
        <w:spacing w:before="240" w:after="0" w:line="276" w:lineRule="auto"/>
        <w:ind w:left="0" w:firstLine="0"/>
        <w:rPr>
          <w:sz w:val="20"/>
          <w:szCs w:val="20"/>
        </w:rPr>
      </w:pPr>
      <w:r w:rsidRPr="00871667">
        <w:rPr>
          <w:sz w:val="20"/>
          <w:szCs w:val="20"/>
        </w:rPr>
        <w:t>TD SYNNEX’s Line Card included</w:t>
      </w:r>
    </w:p>
    <w:p w14:paraId="23F5D499" w14:textId="77777777" w:rsidR="00871667" w:rsidRDefault="001859E2" w:rsidP="005050B8">
      <w:pPr>
        <w:pStyle w:val="BodyCopyBullets"/>
        <w:numPr>
          <w:ilvl w:val="0"/>
          <w:numId w:val="4"/>
        </w:numPr>
        <w:spacing w:after="0" w:line="276" w:lineRule="auto"/>
        <w:ind w:left="360" w:hanging="180"/>
        <w:rPr>
          <w:sz w:val="20"/>
          <w:szCs w:val="20"/>
        </w:rPr>
      </w:pPr>
      <w:r>
        <w:rPr>
          <w:sz w:val="20"/>
          <w:szCs w:val="20"/>
        </w:rPr>
        <w:t>O</w:t>
      </w:r>
      <w:r w:rsidR="008128C5" w:rsidRPr="00871667">
        <w:rPr>
          <w:sz w:val="20"/>
          <w:szCs w:val="20"/>
        </w:rPr>
        <w:t xml:space="preserve">ver 1,400 IT </w:t>
      </w:r>
      <w:r>
        <w:rPr>
          <w:sz w:val="20"/>
          <w:szCs w:val="20"/>
        </w:rPr>
        <w:t>M</w:t>
      </w:r>
      <w:r w:rsidR="008128C5" w:rsidRPr="00871667">
        <w:rPr>
          <w:sz w:val="20"/>
          <w:szCs w:val="20"/>
        </w:rPr>
        <w:t>anufacturer</w:t>
      </w:r>
      <w:r>
        <w:rPr>
          <w:sz w:val="20"/>
          <w:szCs w:val="20"/>
        </w:rPr>
        <w:t>s (OEM’s)</w:t>
      </w:r>
      <w:r w:rsidR="008128C5" w:rsidRPr="00871667">
        <w:rPr>
          <w:sz w:val="20"/>
          <w:szCs w:val="20"/>
        </w:rPr>
        <w:t xml:space="preserve"> &amp; Authorized Service Providers </w:t>
      </w:r>
    </w:p>
    <w:p w14:paraId="28E9B877" w14:textId="77777777" w:rsidR="008128C5" w:rsidRPr="001859E2" w:rsidRDefault="008128C5" w:rsidP="005050B8">
      <w:pPr>
        <w:pStyle w:val="BodyCopyBullets"/>
        <w:numPr>
          <w:ilvl w:val="0"/>
          <w:numId w:val="4"/>
        </w:numPr>
        <w:spacing w:after="0" w:line="276" w:lineRule="auto"/>
        <w:ind w:left="360" w:hanging="180"/>
        <w:rPr>
          <w:sz w:val="20"/>
          <w:szCs w:val="20"/>
        </w:rPr>
      </w:pPr>
      <w:r w:rsidRPr="001859E2">
        <w:rPr>
          <w:sz w:val="20"/>
          <w:szCs w:val="20"/>
        </w:rPr>
        <w:t xml:space="preserve">Four percent (4%) </w:t>
      </w:r>
      <w:r w:rsidR="006A0A86" w:rsidRPr="001859E2">
        <w:rPr>
          <w:sz w:val="20"/>
          <w:szCs w:val="20"/>
        </w:rPr>
        <w:t xml:space="preserve">Discount </w:t>
      </w:r>
      <w:r w:rsidRPr="001859E2">
        <w:rPr>
          <w:sz w:val="20"/>
          <w:szCs w:val="20"/>
        </w:rPr>
        <w:t xml:space="preserve">off MSRP/List </w:t>
      </w:r>
      <w:r w:rsidR="001859E2">
        <w:rPr>
          <w:sz w:val="20"/>
          <w:szCs w:val="20"/>
        </w:rPr>
        <w:t>on a</w:t>
      </w:r>
      <w:r w:rsidRPr="001859E2">
        <w:rPr>
          <w:sz w:val="20"/>
          <w:szCs w:val="20"/>
        </w:rPr>
        <w:t>ll</w:t>
      </w:r>
      <w:r w:rsidR="001859E2" w:rsidRPr="001859E2">
        <w:rPr>
          <w:color w:val="FF0000"/>
          <w:sz w:val="20"/>
          <w:szCs w:val="20"/>
        </w:rPr>
        <w:t>*</w:t>
      </w:r>
      <w:r w:rsidRPr="001859E2">
        <w:rPr>
          <w:sz w:val="20"/>
          <w:szCs w:val="20"/>
        </w:rPr>
        <w:t xml:space="preserve"> manufacturing lines </w:t>
      </w:r>
    </w:p>
    <w:p w14:paraId="295680A1" w14:textId="77777777" w:rsidR="006A0A86" w:rsidRPr="00871667" w:rsidRDefault="001859E2" w:rsidP="005050B8">
      <w:pPr>
        <w:pStyle w:val="BodyCopyBullets"/>
        <w:numPr>
          <w:ilvl w:val="0"/>
          <w:numId w:val="4"/>
        </w:numPr>
        <w:spacing w:after="0" w:line="276" w:lineRule="auto"/>
        <w:ind w:left="360" w:hanging="180"/>
        <w:rPr>
          <w:sz w:val="20"/>
          <w:szCs w:val="20"/>
        </w:rPr>
      </w:pPr>
      <w:r w:rsidRPr="001859E2">
        <w:rPr>
          <w:color w:val="FF0000"/>
          <w:sz w:val="20"/>
          <w:szCs w:val="20"/>
        </w:rPr>
        <w:t>*</w:t>
      </w:r>
      <w:r w:rsidR="008128C5" w:rsidRPr="00871667">
        <w:rPr>
          <w:sz w:val="20"/>
          <w:szCs w:val="20"/>
        </w:rPr>
        <w:t xml:space="preserve">Exceptions - Two percent (2%) </w:t>
      </w:r>
      <w:r w:rsidR="006A0A86" w:rsidRPr="00871667">
        <w:rPr>
          <w:sz w:val="20"/>
          <w:szCs w:val="20"/>
        </w:rPr>
        <w:t xml:space="preserve">Discount </w:t>
      </w:r>
      <w:r w:rsidR="008128C5" w:rsidRPr="00871667">
        <w:rPr>
          <w:sz w:val="20"/>
          <w:szCs w:val="20"/>
        </w:rPr>
        <w:t xml:space="preserve">off MSRP/List - Chromebooks, HP </w:t>
      </w:r>
      <w:proofErr w:type="spellStart"/>
      <w:r w:rsidR="008128C5" w:rsidRPr="00871667">
        <w:rPr>
          <w:sz w:val="20"/>
          <w:szCs w:val="20"/>
        </w:rPr>
        <w:t>SmartBuys</w:t>
      </w:r>
      <w:proofErr w:type="spellEnd"/>
      <w:r w:rsidR="008128C5" w:rsidRPr="00871667">
        <w:rPr>
          <w:sz w:val="20"/>
          <w:szCs w:val="20"/>
        </w:rPr>
        <w:t xml:space="preserve">, Lenovo </w:t>
      </w:r>
      <w:proofErr w:type="spellStart"/>
      <w:r w:rsidR="008128C5" w:rsidRPr="00871667">
        <w:rPr>
          <w:sz w:val="20"/>
          <w:szCs w:val="20"/>
        </w:rPr>
        <w:t>TopSeller</w:t>
      </w:r>
      <w:proofErr w:type="spellEnd"/>
      <w:r w:rsidR="008128C5" w:rsidRPr="00871667">
        <w:rPr>
          <w:sz w:val="20"/>
          <w:szCs w:val="20"/>
        </w:rPr>
        <w:t xml:space="preserve"> Products &amp; all other promotionally priced products, APC, Asus, Cisco, Crucial, Google, Global Knowledge Training, Microsoft Software, NEC, Netmotion, Seagate, &amp; F5</w:t>
      </w:r>
    </w:p>
    <w:p w14:paraId="76915A54" w14:textId="77777777" w:rsidR="006A0A86" w:rsidRPr="00871667" w:rsidRDefault="006A0A86" w:rsidP="005050B8">
      <w:pPr>
        <w:pStyle w:val="BodyCopyBullets"/>
        <w:numPr>
          <w:ilvl w:val="0"/>
          <w:numId w:val="4"/>
        </w:numPr>
        <w:spacing w:after="0" w:line="276" w:lineRule="auto"/>
        <w:ind w:left="360" w:hanging="180"/>
        <w:rPr>
          <w:sz w:val="20"/>
          <w:szCs w:val="20"/>
        </w:rPr>
      </w:pPr>
      <w:r w:rsidRPr="00871667">
        <w:rPr>
          <w:sz w:val="20"/>
          <w:szCs w:val="20"/>
        </w:rPr>
        <w:t>Zero percent (0%) Discount off MSRP on non-discountable items.</w:t>
      </w:r>
    </w:p>
    <w:p w14:paraId="118B5889" w14:textId="77777777" w:rsidR="008128C5" w:rsidRPr="00871667" w:rsidRDefault="008128C5" w:rsidP="005050B8">
      <w:pPr>
        <w:pStyle w:val="SectionHeaders"/>
        <w:spacing w:before="240" w:after="0" w:line="276" w:lineRule="auto"/>
        <w:jc w:val="both"/>
        <w:rPr>
          <w:sz w:val="22"/>
          <w:szCs w:val="22"/>
        </w:rPr>
      </w:pPr>
      <w:r w:rsidRPr="00871667">
        <w:rPr>
          <w:sz w:val="22"/>
          <w:szCs w:val="22"/>
        </w:rPr>
        <w:t>Authorized Dealer Program</w:t>
      </w:r>
    </w:p>
    <w:p w14:paraId="29D0289B" w14:textId="2CCA1566" w:rsidR="008128C5" w:rsidRPr="00871667" w:rsidRDefault="008128C5" w:rsidP="005328C7">
      <w:pPr>
        <w:pStyle w:val="Bodycopy"/>
        <w:spacing w:before="240" w:after="0" w:line="276" w:lineRule="auto"/>
        <w:jc w:val="both"/>
        <w:rPr>
          <w:sz w:val="20"/>
          <w:szCs w:val="20"/>
        </w:rPr>
      </w:pPr>
      <w:r w:rsidRPr="00871667">
        <w:rPr>
          <w:sz w:val="20"/>
          <w:szCs w:val="20"/>
        </w:rPr>
        <w:t xml:space="preserve">TD SYNNEX offers a Dealer Program that provides select reseller partners the ability to sell to </w:t>
      </w:r>
      <w:r w:rsidR="00C33BC7">
        <w:rPr>
          <w:sz w:val="20"/>
          <w:szCs w:val="20"/>
        </w:rPr>
        <w:t>OMNIA Partners</w:t>
      </w:r>
      <w:r w:rsidRPr="00871667">
        <w:rPr>
          <w:sz w:val="20"/>
          <w:szCs w:val="20"/>
        </w:rPr>
        <w:t xml:space="preserve"> members using this contract.  The Dealer is authorized to invoice the</w:t>
      </w:r>
      <w:r w:rsidR="00C123AA" w:rsidRPr="00871667">
        <w:rPr>
          <w:sz w:val="20"/>
          <w:szCs w:val="20"/>
        </w:rPr>
        <w:t xml:space="preserve"> </w:t>
      </w:r>
      <w:r w:rsidR="00C33BC7">
        <w:rPr>
          <w:sz w:val="20"/>
          <w:szCs w:val="20"/>
        </w:rPr>
        <w:t>OMNIA Partners</w:t>
      </w:r>
      <w:r w:rsidR="00C33BC7" w:rsidRPr="00871667">
        <w:rPr>
          <w:sz w:val="20"/>
          <w:szCs w:val="20"/>
        </w:rPr>
        <w:t xml:space="preserve"> </w:t>
      </w:r>
      <w:r w:rsidRPr="00871667">
        <w:rPr>
          <w:sz w:val="20"/>
          <w:szCs w:val="20"/>
        </w:rPr>
        <w:t>member and accept payment on behalf of TD SYNNEX, subject to the following requirements:</w:t>
      </w:r>
    </w:p>
    <w:p w14:paraId="31B29BED" w14:textId="11EEB298" w:rsidR="00E752D4" w:rsidRPr="00871667" w:rsidRDefault="00E752D4" w:rsidP="005050B8">
      <w:pPr>
        <w:pStyle w:val="BodyCopyBullets"/>
        <w:numPr>
          <w:ilvl w:val="0"/>
          <w:numId w:val="4"/>
        </w:numPr>
        <w:spacing w:after="0" w:line="276" w:lineRule="auto"/>
        <w:ind w:left="360" w:hanging="180"/>
        <w:rPr>
          <w:sz w:val="20"/>
          <w:szCs w:val="20"/>
        </w:rPr>
      </w:pPr>
      <w:r w:rsidRPr="00871667">
        <w:rPr>
          <w:sz w:val="20"/>
          <w:szCs w:val="20"/>
        </w:rPr>
        <w:t xml:space="preserve">Dealer must identify all </w:t>
      </w:r>
      <w:r w:rsidR="00C33BC7">
        <w:rPr>
          <w:sz w:val="20"/>
          <w:szCs w:val="20"/>
        </w:rPr>
        <w:t>OMNIA Partners</w:t>
      </w:r>
      <w:r w:rsidR="00C33BC7" w:rsidRPr="00871667">
        <w:rPr>
          <w:sz w:val="20"/>
          <w:szCs w:val="20"/>
        </w:rPr>
        <w:t xml:space="preserve"> </w:t>
      </w:r>
      <w:r w:rsidRPr="00871667">
        <w:rPr>
          <w:sz w:val="20"/>
          <w:szCs w:val="20"/>
        </w:rPr>
        <w:t xml:space="preserve">quotes and orders to TD SYNNEX.  Quotes can be obtained at </w:t>
      </w:r>
      <w:r w:rsidR="00C33BC7">
        <w:rPr>
          <w:sz w:val="20"/>
          <w:szCs w:val="20"/>
        </w:rPr>
        <w:t>OMNIA</w:t>
      </w:r>
      <w:r w:rsidRPr="00871667">
        <w:rPr>
          <w:sz w:val="20"/>
          <w:szCs w:val="20"/>
        </w:rPr>
        <w:t>@tdsynnex.com</w:t>
      </w:r>
    </w:p>
    <w:p w14:paraId="2C148FDE" w14:textId="57A42AB4" w:rsidR="008128C5" w:rsidRPr="00871667" w:rsidRDefault="008128C5" w:rsidP="005050B8">
      <w:pPr>
        <w:pStyle w:val="BodyCopyBullets"/>
        <w:numPr>
          <w:ilvl w:val="0"/>
          <w:numId w:val="4"/>
        </w:numPr>
        <w:spacing w:after="0" w:line="276" w:lineRule="auto"/>
        <w:ind w:left="360" w:hanging="180"/>
        <w:rPr>
          <w:sz w:val="20"/>
          <w:szCs w:val="20"/>
        </w:rPr>
      </w:pPr>
      <w:r w:rsidRPr="00871667">
        <w:rPr>
          <w:sz w:val="20"/>
          <w:szCs w:val="20"/>
        </w:rPr>
        <w:t>Dealer quote</w:t>
      </w:r>
      <w:r w:rsidR="00E752D4">
        <w:rPr>
          <w:sz w:val="20"/>
          <w:szCs w:val="20"/>
        </w:rPr>
        <w:t xml:space="preserve">, issued to Dealer from TDS, </w:t>
      </w:r>
      <w:r w:rsidRPr="00871667">
        <w:rPr>
          <w:sz w:val="20"/>
          <w:szCs w:val="20"/>
        </w:rPr>
        <w:t xml:space="preserve">will include the </w:t>
      </w:r>
      <w:r w:rsidR="00C33BC7">
        <w:rPr>
          <w:sz w:val="20"/>
          <w:szCs w:val="20"/>
        </w:rPr>
        <w:t>OMNIA Partners</w:t>
      </w:r>
      <w:r w:rsidR="00C33BC7" w:rsidRPr="00871667">
        <w:rPr>
          <w:sz w:val="20"/>
          <w:szCs w:val="20"/>
        </w:rPr>
        <w:t xml:space="preserve"> </w:t>
      </w:r>
      <w:r w:rsidRPr="00871667">
        <w:rPr>
          <w:sz w:val="20"/>
          <w:szCs w:val="20"/>
        </w:rPr>
        <w:t>contract price and your cost from TD SYNNEX</w:t>
      </w:r>
    </w:p>
    <w:p w14:paraId="2BDFF70A" w14:textId="3E837F0A" w:rsidR="008128C5" w:rsidRPr="00871667" w:rsidRDefault="008128C5" w:rsidP="005050B8">
      <w:pPr>
        <w:pStyle w:val="BodyCopyBullets"/>
        <w:numPr>
          <w:ilvl w:val="0"/>
          <w:numId w:val="4"/>
        </w:numPr>
        <w:spacing w:after="0" w:line="276" w:lineRule="auto"/>
        <w:ind w:left="360" w:hanging="180"/>
        <w:rPr>
          <w:sz w:val="20"/>
          <w:szCs w:val="20"/>
        </w:rPr>
      </w:pPr>
      <w:r w:rsidRPr="00871667">
        <w:rPr>
          <w:sz w:val="20"/>
          <w:szCs w:val="20"/>
        </w:rPr>
        <w:lastRenderedPageBreak/>
        <w:t>End-user pricing</w:t>
      </w:r>
      <w:r w:rsidR="00E752D4">
        <w:rPr>
          <w:sz w:val="20"/>
          <w:szCs w:val="20"/>
        </w:rPr>
        <w:t>, charged to the EU from the Dealer,</w:t>
      </w:r>
      <w:r w:rsidRPr="00871667">
        <w:rPr>
          <w:sz w:val="20"/>
          <w:szCs w:val="20"/>
        </w:rPr>
        <w:t xml:space="preserve"> can NOT exceed the </w:t>
      </w:r>
      <w:r w:rsidR="00C33BC7">
        <w:rPr>
          <w:sz w:val="20"/>
          <w:szCs w:val="20"/>
        </w:rPr>
        <w:t>OMNIA Partners</w:t>
      </w:r>
      <w:r w:rsidR="00C33BC7" w:rsidRPr="00871667">
        <w:rPr>
          <w:sz w:val="20"/>
          <w:szCs w:val="20"/>
        </w:rPr>
        <w:t xml:space="preserve"> </w:t>
      </w:r>
      <w:r w:rsidRPr="00871667">
        <w:rPr>
          <w:sz w:val="20"/>
          <w:szCs w:val="20"/>
        </w:rPr>
        <w:t>Contract Price</w:t>
      </w:r>
      <w:r w:rsidR="00FE113D" w:rsidRPr="00871667">
        <w:rPr>
          <w:sz w:val="20"/>
          <w:szCs w:val="20"/>
        </w:rPr>
        <w:t xml:space="preserve">, the NTE contract pricing, </w:t>
      </w:r>
      <w:r w:rsidRPr="00871667">
        <w:rPr>
          <w:sz w:val="20"/>
          <w:szCs w:val="20"/>
        </w:rPr>
        <w:t>but can be discounted by the Dealer</w:t>
      </w:r>
    </w:p>
    <w:p w14:paraId="4A1507BC" w14:textId="36FF7C66" w:rsidR="008128C5" w:rsidRPr="00871667" w:rsidRDefault="008128C5" w:rsidP="005050B8">
      <w:pPr>
        <w:pStyle w:val="BodyCopyBullets"/>
        <w:numPr>
          <w:ilvl w:val="0"/>
          <w:numId w:val="4"/>
        </w:numPr>
        <w:spacing w:after="0" w:line="276" w:lineRule="auto"/>
        <w:ind w:left="360" w:hanging="180"/>
        <w:rPr>
          <w:sz w:val="20"/>
          <w:szCs w:val="20"/>
        </w:rPr>
      </w:pPr>
      <w:r w:rsidRPr="00871667">
        <w:rPr>
          <w:sz w:val="20"/>
          <w:szCs w:val="20"/>
        </w:rPr>
        <w:t xml:space="preserve">Both the End-user and Dealer POs should reference </w:t>
      </w:r>
      <w:r w:rsidR="00C33BC7">
        <w:rPr>
          <w:sz w:val="20"/>
          <w:szCs w:val="20"/>
        </w:rPr>
        <w:t>OMNIA Partners</w:t>
      </w:r>
      <w:r w:rsidR="00C33BC7" w:rsidRPr="00871667">
        <w:rPr>
          <w:sz w:val="20"/>
          <w:szCs w:val="20"/>
        </w:rPr>
        <w:t xml:space="preserve"> </w:t>
      </w:r>
      <w:r w:rsidRPr="00871667">
        <w:rPr>
          <w:sz w:val="20"/>
          <w:szCs w:val="20"/>
        </w:rPr>
        <w:t xml:space="preserve">Contract number </w:t>
      </w:r>
      <w:r w:rsidR="00FE113D" w:rsidRPr="00871667">
        <w:rPr>
          <w:sz w:val="20"/>
          <w:szCs w:val="20"/>
        </w:rPr>
        <w:t>#</w:t>
      </w:r>
      <w:r w:rsidR="00C33BC7">
        <w:rPr>
          <w:sz w:val="20"/>
          <w:szCs w:val="20"/>
        </w:rPr>
        <w:t>R200803</w:t>
      </w:r>
      <w:r w:rsidR="00C123AA" w:rsidRPr="00871667">
        <w:rPr>
          <w:sz w:val="20"/>
          <w:szCs w:val="20"/>
        </w:rPr>
        <w:t>.</w:t>
      </w:r>
    </w:p>
    <w:p w14:paraId="23D68D9E" w14:textId="77777777" w:rsidR="008128C5" w:rsidRPr="00871667" w:rsidRDefault="008128C5" w:rsidP="005050B8">
      <w:pPr>
        <w:pStyle w:val="BodyCopyBullets"/>
        <w:numPr>
          <w:ilvl w:val="0"/>
          <w:numId w:val="4"/>
        </w:numPr>
        <w:spacing w:after="0" w:line="276" w:lineRule="auto"/>
        <w:ind w:left="360" w:hanging="180"/>
        <w:rPr>
          <w:sz w:val="20"/>
          <w:szCs w:val="20"/>
        </w:rPr>
      </w:pPr>
      <w:r w:rsidRPr="00871667">
        <w:rPr>
          <w:sz w:val="20"/>
          <w:szCs w:val="20"/>
        </w:rPr>
        <w:t xml:space="preserve">Dealer is responsible for maintaining a copy of these POs for audit purposes for up to </w:t>
      </w:r>
      <w:r w:rsidR="00E752D4">
        <w:rPr>
          <w:sz w:val="20"/>
          <w:szCs w:val="20"/>
        </w:rPr>
        <w:t>5</w:t>
      </w:r>
      <w:r w:rsidRPr="00871667">
        <w:rPr>
          <w:sz w:val="20"/>
          <w:szCs w:val="20"/>
        </w:rPr>
        <w:t xml:space="preserve"> years following the date of that sale.</w:t>
      </w:r>
    </w:p>
    <w:p w14:paraId="7903A376" w14:textId="73838E41" w:rsidR="00FE113D" w:rsidRPr="00871667" w:rsidRDefault="00F96080" w:rsidP="005050B8">
      <w:pPr>
        <w:pStyle w:val="BodyCopyBullets"/>
        <w:numPr>
          <w:ilvl w:val="0"/>
          <w:numId w:val="4"/>
        </w:numPr>
        <w:spacing w:after="0" w:line="276" w:lineRule="auto"/>
        <w:ind w:left="360" w:hanging="180"/>
        <w:rPr>
          <w:sz w:val="20"/>
          <w:szCs w:val="20"/>
        </w:rPr>
      </w:pPr>
      <w:r w:rsidRPr="00871667">
        <w:rPr>
          <w:sz w:val="20"/>
          <w:szCs w:val="20"/>
        </w:rPr>
        <w:t>Dealer</w:t>
      </w:r>
      <w:r w:rsidR="008128C5" w:rsidRPr="00871667">
        <w:rPr>
          <w:sz w:val="20"/>
          <w:szCs w:val="20"/>
        </w:rPr>
        <w:t xml:space="preserve"> must have a current account in good standing at TD SYNNEX and </w:t>
      </w:r>
      <w:r w:rsidR="00C33BC7">
        <w:rPr>
          <w:sz w:val="20"/>
          <w:szCs w:val="20"/>
        </w:rPr>
        <w:t xml:space="preserve">a </w:t>
      </w:r>
      <w:r w:rsidR="008128C5" w:rsidRPr="00871667">
        <w:rPr>
          <w:sz w:val="20"/>
          <w:szCs w:val="20"/>
        </w:rPr>
        <w:t xml:space="preserve">signed Dealer Agreement.  </w:t>
      </w:r>
    </w:p>
    <w:p w14:paraId="1BA2E77F" w14:textId="77777777" w:rsidR="008128C5" w:rsidRPr="00871667" w:rsidRDefault="008128C5" w:rsidP="005050B8">
      <w:pPr>
        <w:pStyle w:val="BodyCopyBullets"/>
        <w:numPr>
          <w:ilvl w:val="0"/>
          <w:numId w:val="4"/>
        </w:numPr>
        <w:spacing w:after="0" w:line="276" w:lineRule="auto"/>
        <w:ind w:left="360" w:hanging="180"/>
        <w:rPr>
          <w:sz w:val="20"/>
          <w:szCs w:val="20"/>
        </w:rPr>
      </w:pPr>
      <w:r w:rsidRPr="00871667">
        <w:rPr>
          <w:sz w:val="20"/>
          <w:szCs w:val="20"/>
        </w:rPr>
        <w:t>TD SYNNEX and manufacturers’ standard commercial certifications/authorizations are required for participation.</w:t>
      </w:r>
    </w:p>
    <w:p w14:paraId="5397AFE7" w14:textId="12E72591" w:rsidR="00F96080" w:rsidRPr="00FC0A27" w:rsidRDefault="005050B8" w:rsidP="005050B8">
      <w:pPr>
        <w:pStyle w:val="BodyCopyBullets"/>
        <w:numPr>
          <w:ilvl w:val="0"/>
          <w:numId w:val="4"/>
        </w:numPr>
        <w:spacing w:after="0" w:line="276" w:lineRule="auto"/>
        <w:ind w:left="360" w:hanging="180"/>
        <w:rPr>
          <w:sz w:val="20"/>
          <w:szCs w:val="20"/>
        </w:rPr>
      </w:pPr>
      <w:r>
        <w:rPr>
          <w:sz w:val="20"/>
          <w:szCs w:val="20"/>
        </w:rPr>
        <w:t>D</w:t>
      </w:r>
      <w:r w:rsidR="00F96080" w:rsidRPr="00871667">
        <w:rPr>
          <w:sz w:val="20"/>
          <w:szCs w:val="20"/>
        </w:rPr>
        <w:t xml:space="preserve">ealer must </w:t>
      </w:r>
      <w:r w:rsidR="00FE113D" w:rsidRPr="00871667">
        <w:rPr>
          <w:sz w:val="20"/>
          <w:szCs w:val="20"/>
        </w:rPr>
        <w:t xml:space="preserve">be prepared to pay contract fees at the time the order is placed. </w:t>
      </w:r>
    </w:p>
    <w:p w14:paraId="7D4416AB" w14:textId="77777777" w:rsidR="008128C5" w:rsidRPr="00871667" w:rsidRDefault="008128C5" w:rsidP="005050B8">
      <w:pPr>
        <w:pStyle w:val="SectionHeaders"/>
        <w:spacing w:before="240" w:after="0" w:line="276" w:lineRule="auto"/>
        <w:rPr>
          <w:sz w:val="22"/>
          <w:szCs w:val="22"/>
        </w:rPr>
      </w:pPr>
      <w:r w:rsidRPr="00871667">
        <w:rPr>
          <w:sz w:val="22"/>
          <w:szCs w:val="22"/>
        </w:rPr>
        <w:t>Contract Sales Reporting</w:t>
      </w:r>
    </w:p>
    <w:p w14:paraId="38269196" w14:textId="25BB2200" w:rsidR="00B83BDB" w:rsidRPr="0007254B" w:rsidRDefault="00B83BDB" w:rsidP="005328C7">
      <w:pPr>
        <w:pStyle w:val="BodyText"/>
        <w:spacing w:before="240" w:line="276" w:lineRule="auto"/>
        <w:jc w:val="both"/>
        <w:rPr>
          <w:rFonts w:ascii="Georgia Pro" w:hAnsi="Georgia Pro" w:cstheme="minorHAnsi"/>
          <w:sz w:val="20"/>
          <w:szCs w:val="20"/>
        </w:rPr>
      </w:pPr>
      <w:bookmarkStart w:id="0" w:name="_Hlk131057165"/>
      <w:bookmarkStart w:id="1" w:name="_Hlk193987664"/>
      <w:r w:rsidRPr="0007254B">
        <w:rPr>
          <w:rFonts w:ascii="Georgia Pro" w:hAnsi="Georgia Pro" w:cstheme="minorHAnsi"/>
          <w:sz w:val="20"/>
          <w:szCs w:val="20"/>
        </w:rPr>
        <w:t xml:space="preserve">Sales reporting requirements are fulfilled at the time of sale for each transaction. Sales reporting includes the Reseller’s Purchase Order issued to TD SYNNEX and the end-user customer’s Purchase Order issued to Reseller. The Purchase Orders must be submitted to your designated TD SYNNEX salesperson and the following email address </w:t>
      </w:r>
      <w:hyperlink r:id="rId8" w:history="1"/>
      <w:hyperlink r:id="rId9" w:history="1">
        <w:r w:rsidR="005328C7" w:rsidRPr="006739BE">
          <w:rPr>
            <w:rStyle w:val="Hyperlink"/>
            <w:rFonts w:ascii="Georgia Pro" w:hAnsi="Georgia Pro" w:cstheme="minorHAnsi"/>
            <w:sz w:val="20"/>
            <w:szCs w:val="20"/>
          </w:rPr>
          <w:t>OMNIA@tdsynnex.com</w:t>
        </w:r>
      </w:hyperlink>
      <w:r w:rsidRPr="0007254B">
        <w:rPr>
          <w:rFonts w:ascii="Georgia Pro" w:hAnsi="Georgia Pro" w:cstheme="minorHAnsi"/>
          <w:sz w:val="20"/>
          <w:szCs w:val="20"/>
        </w:rPr>
        <w:t xml:space="preserve"> at the time the order is placed. Sales reporting requirements are material requirements to remain compliant to the Agreement and will be a deliverable for each transaction.</w:t>
      </w:r>
      <w:bookmarkEnd w:id="0"/>
      <w:r w:rsidRPr="0007254B">
        <w:rPr>
          <w:rFonts w:ascii="Georgia Pro" w:hAnsi="Georgia Pro" w:cstheme="minorHAnsi"/>
          <w:sz w:val="20"/>
          <w:szCs w:val="20"/>
        </w:rPr>
        <w:t xml:space="preserve"> If there is a reason to manually report contract sales to the TD SYNNEX Contract Administration Team, please submit your report online here: </w:t>
      </w:r>
      <w:hyperlink r:id="rId10" w:history="1">
        <w:r w:rsidR="00C33BC7" w:rsidRPr="006739BE">
          <w:rPr>
            <w:rStyle w:val="Hyperlink"/>
            <w:rFonts w:ascii="Georgia Pro" w:hAnsi="Georgia Pro" w:cstheme="minorHAnsi"/>
            <w:sz w:val="20"/>
            <w:szCs w:val="20"/>
          </w:rPr>
          <w:t>https://www.tdsynnex.com/na/us/td-synnex-public-sector/contracts/monthly-contract-reporting/</w:t>
        </w:r>
      </w:hyperlink>
      <w:r w:rsidR="00C33BC7">
        <w:rPr>
          <w:rFonts w:ascii="Georgia Pro" w:hAnsi="Georgia Pro" w:cstheme="minorHAnsi"/>
          <w:sz w:val="20"/>
          <w:szCs w:val="20"/>
        </w:rPr>
        <w:t xml:space="preserve">. </w:t>
      </w:r>
      <w:bookmarkStart w:id="2" w:name="_Hlk193988999"/>
      <w:bookmarkStart w:id="3" w:name="_Hlk193989048"/>
      <w:r w:rsidRPr="0007254B">
        <w:rPr>
          <w:rFonts w:ascii="Georgia Pro" w:hAnsi="Georgia Pro" w:cstheme="minorHAnsi"/>
          <w:sz w:val="20"/>
          <w:szCs w:val="20"/>
        </w:rPr>
        <w:t>An invoice will bill to the Dealer to collect the contract fees due from the online submission</w:t>
      </w:r>
      <w:bookmarkEnd w:id="2"/>
      <w:r w:rsidRPr="0007254B">
        <w:rPr>
          <w:rFonts w:ascii="Georgia Pro" w:hAnsi="Georgia Pro" w:cstheme="minorHAnsi"/>
          <w:sz w:val="20"/>
          <w:szCs w:val="20"/>
        </w:rPr>
        <w:t xml:space="preserve"> after the manual report is submitted.</w:t>
      </w:r>
      <w:bookmarkEnd w:id="3"/>
    </w:p>
    <w:bookmarkEnd w:id="1"/>
    <w:p w14:paraId="7337B17F" w14:textId="05418DBD" w:rsidR="008128C5" w:rsidRDefault="008128C5" w:rsidP="005050B8">
      <w:pPr>
        <w:pStyle w:val="SectionHeaders"/>
        <w:spacing w:before="240" w:after="0" w:line="276" w:lineRule="auto"/>
        <w:rPr>
          <w:sz w:val="22"/>
          <w:szCs w:val="22"/>
        </w:rPr>
      </w:pPr>
      <w:r w:rsidRPr="00871667">
        <w:rPr>
          <w:sz w:val="22"/>
          <w:szCs w:val="22"/>
        </w:rPr>
        <w:t>Contract Administration Fees</w:t>
      </w:r>
    </w:p>
    <w:p w14:paraId="0679282A" w14:textId="77777777" w:rsidR="005328C7" w:rsidRDefault="005328C7" w:rsidP="005328C7">
      <w:pPr>
        <w:pStyle w:val="BodyText"/>
        <w:spacing w:line="276" w:lineRule="auto"/>
        <w:jc w:val="both"/>
        <w:rPr>
          <w:rFonts w:ascii="Georgia Pro" w:hAnsi="Georgia Pro" w:cstheme="minorHAnsi"/>
          <w:sz w:val="20"/>
          <w:szCs w:val="20"/>
        </w:rPr>
      </w:pPr>
    </w:p>
    <w:p w14:paraId="28FBA2AA" w14:textId="77777777" w:rsidR="009E48A6" w:rsidRDefault="005328C7" w:rsidP="009E48A6">
      <w:pPr>
        <w:pStyle w:val="BodyText"/>
        <w:spacing w:line="276" w:lineRule="auto"/>
        <w:jc w:val="both"/>
        <w:rPr>
          <w:rFonts w:ascii="Georgia Pro" w:hAnsi="Georgia Pro" w:cstheme="minorHAnsi"/>
          <w:sz w:val="20"/>
          <w:szCs w:val="20"/>
        </w:rPr>
      </w:pPr>
      <w:r w:rsidRPr="005328C7">
        <w:rPr>
          <w:rFonts w:ascii="Georgia Pro" w:hAnsi="Georgia Pro" w:cstheme="minorHAnsi"/>
          <w:sz w:val="20"/>
          <w:szCs w:val="20"/>
        </w:rPr>
        <w:t>Contract Administrative fee: 2% or 200 Bps for All Sales</w:t>
      </w:r>
      <w:r w:rsidR="009E48A6" w:rsidRPr="009E48A6">
        <w:rPr>
          <w:rFonts w:ascii="Georgia Pro" w:hAnsi="Georgia Pro" w:cstheme="minorHAnsi"/>
          <w:sz w:val="20"/>
          <w:szCs w:val="20"/>
        </w:rPr>
        <w:t xml:space="preserve"> </w:t>
      </w:r>
    </w:p>
    <w:p w14:paraId="65C92770" w14:textId="2F5AC642" w:rsidR="005328C7" w:rsidRDefault="009E48A6" w:rsidP="005328C7">
      <w:pPr>
        <w:pStyle w:val="BodyText"/>
        <w:spacing w:before="240" w:line="276" w:lineRule="auto"/>
        <w:jc w:val="both"/>
        <w:rPr>
          <w:rFonts w:ascii="Georgia Pro" w:hAnsi="Georgia Pro" w:cstheme="minorHAnsi"/>
          <w:sz w:val="20"/>
          <w:szCs w:val="20"/>
        </w:rPr>
      </w:pPr>
      <w:bookmarkStart w:id="4" w:name="_Hlk195193795"/>
      <w:bookmarkStart w:id="5" w:name="_Hlk195193641"/>
      <w:r w:rsidRPr="005328C7">
        <w:rPr>
          <w:rFonts w:ascii="Georgia Pro" w:hAnsi="Georgia Pro" w:cstheme="minorHAnsi"/>
          <w:sz w:val="20"/>
          <w:szCs w:val="20"/>
        </w:rPr>
        <w:t xml:space="preserve">Authorized Dealer is responsible for the payment of the administrative fee to TD SYNNEX. </w:t>
      </w:r>
      <w:r w:rsidR="005328C7" w:rsidRPr="005328C7">
        <w:rPr>
          <w:rFonts w:ascii="Georgia Pro" w:hAnsi="Georgia Pro" w:cstheme="minorHAnsi"/>
          <w:sz w:val="20"/>
          <w:szCs w:val="20"/>
        </w:rPr>
        <w:t>The Contract Fee is calculated off the Dealer’s combined monthly sales based on the total pric</w:t>
      </w:r>
      <w:r w:rsidR="004D17A5">
        <w:rPr>
          <w:rFonts w:ascii="Georgia Pro" w:hAnsi="Georgia Pro" w:cstheme="minorHAnsi"/>
          <w:sz w:val="20"/>
          <w:szCs w:val="20"/>
        </w:rPr>
        <w:t>e</w:t>
      </w:r>
      <w:r w:rsidR="005328C7" w:rsidRPr="005328C7">
        <w:rPr>
          <w:rFonts w:ascii="Georgia Pro" w:hAnsi="Georgia Pro" w:cstheme="minorHAnsi"/>
          <w:sz w:val="20"/>
          <w:szCs w:val="20"/>
        </w:rPr>
        <w:t xml:space="preserve"> charged to the OMNIA Partners contract members. Participating manufacturers are encouraged to provide special pricing that offsets this Contract Fee. </w:t>
      </w:r>
    </w:p>
    <w:bookmarkEnd w:id="4"/>
    <w:p w14:paraId="3EC5CF2C" w14:textId="6B7D5223" w:rsidR="009E48A6" w:rsidRPr="009E48A6" w:rsidRDefault="009E48A6" w:rsidP="00844F6A">
      <w:pPr>
        <w:pStyle w:val="SectionHeaders"/>
        <w:spacing w:before="240" w:line="276" w:lineRule="auto"/>
        <w:rPr>
          <w:sz w:val="22"/>
          <w:szCs w:val="22"/>
        </w:rPr>
      </w:pPr>
      <w:r w:rsidRPr="009E48A6">
        <w:rPr>
          <w:sz w:val="22"/>
          <w:szCs w:val="22"/>
        </w:rPr>
        <w:t>P</w:t>
      </w:r>
      <w:r w:rsidR="00844F6A">
        <w:rPr>
          <w:sz w:val="22"/>
          <w:szCs w:val="22"/>
        </w:rPr>
        <w:t>ayment Information</w:t>
      </w:r>
    </w:p>
    <w:p w14:paraId="493435DC" w14:textId="77777777" w:rsidR="009E48A6" w:rsidRDefault="009E48A6" w:rsidP="009E48A6">
      <w:pPr>
        <w:pStyle w:val="Heading1"/>
        <w:spacing w:before="93"/>
        <w:ind w:left="0"/>
        <w:jc w:val="left"/>
        <w:sectPr w:rsidR="009E48A6" w:rsidSect="00135F1A">
          <w:headerReference w:type="default" r:id="rId11"/>
          <w:footerReference w:type="default" r:id="rId12"/>
          <w:pgSz w:w="12240" w:h="15840"/>
          <w:pgMar w:top="1980" w:right="1440" w:bottom="1440" w:left="1440" w:header="720" w:footer="720" w:gutter="0"/>
          <w:cols w:space="720"/>
          <w:docGrid w:linePitch="360"/>
        </w:sectPr>
      </w:pPr>
    </w:p>
    <w:p w14:paraId="478C1B83" w14:textId="77777777" w:rsidR="00746E47" w:rsidRDefault="00746E47" w:rsidP="00844F6A">
      <w:pPr>
        <w:pStyle w:val="Heading1"/>
        <w:spacing w:line="276" w:lineRule="auto"/>
        <w:ind w:left="0"/>
        <w:jc w:val="left"/>
      </w:pPr>
      <w:bookmarkStart w:id="6" w:name="_Hlk195193959"/>
    </w:p>
    <w:p w14:paraId="776D1262" w14:textId="278229D8" w:rsidR="009E48A6" w:rsidRPr="00746E47" w:rsidRDefault="009E48A6" w:rsidP="00844F6A">
      <w:pPr>
        <w:pStyle w:val="Heading1"/>
        <w:spacing w:line="276" w:lineRule="auto"/>
        <w:ind w:left="0"/>
        <w:jc w:val="left"/>
        <w:rPr>
          <w:rFonts w:ascii="Georgia Pro" w:hAnsi="Georgia Pro"/>
        </w:rPr>
      </w:pPr>
      <w:r w:rsidRPr="00746E47">
        <w:rPr>
          <w:rFonts w:ascii="Georgia Pro" w:hAnsi="Georgia Pro"/>
        </w:rPr>
        <w:t>REMIT</w:t>
      </w:r>
      <w:r w:rsidRPr="00746E47">
        <w:rPr>
          <w:rFonts w:ascii="Georgia Pro" w:hAnsi="Georgia Pro"/>
          <w:spacing w:val="-6"/>
        </w:rPr>
        <w:t xml:space="preserve"> </w:t>
      </w:r>
      <w:r w:rsidRPr="00746E47">
        <w:rPr>
          <w:rFonts w:ascii="Georgia Pro" w:hAnsi="Georgia Pro"/>
        </w:rPr>
        <w:t>TO</w:t>
      </w:r>
      <w:r w:rsidRPr="00746E47">
        <w:rPr>
          <w:rFonts w:ascii="Georgia Pro" w:hAnsi="Georgia Pro"/>
          <w:spacing w:val="-5"/>
        </w:rPr>
        <w:t xml:space="preserve"> </w:t>
      </w:r>
      <w:r w:rsidRPr="00746E47">
        <w:rPr>
          <w:rFonts w:ascii="Georgia Pro" w:hAnsi="Georgia Pro"/>
          <w:spacing w:val="-2"/>
        </w:rPr>
        <w:t>ADDRESS</w:t>
      </w:r>
    </w:p>
    <w:p w14:paraId="76E59FAD" w14:textId="77777777" w:rsidR="00844F6A" w:rsidRPr="00746E47" w:rsidRDefault="009E48A6" w:rsidP="00746E47">
      <w:pPr>
        <w:pStyle w:val="BodyText"/>
        <w:spacing w:line="276" w:lineRule="auto"/>
        <w:ind w:left="720"/>
        <w:rPr>
          <w:rFonts w:ascii="Georgia Pro" w:hAnsi="Georgia Pro"/>
          <w:spacing w:val="-2"/>
          <w:sz w:val="20"/>
          <w:szCs w:val="20"/>
        </w:rPr>
      </w:pPr>
      <w:r w:rsidRPr="00746E47">
        <w:rPr>
          <w:rFonts w:ascii="Georgia Pro" w:hAnsi="Georgia Pro"/>
          <w:sz w:val="20"/>
          <w:szCs w:val="20"/>
        </w:rPr>
        <w:t>TD</w:t>
      </w:r>
      <w:r w:rsidRPr="00746E47">
        <w:rPr>
          <w:rFonts w:ascii="Georgia Pro" w:hAnsi="Georgia Pro"/>
          <w:spacing w:val="-5"/>
          <w:sz w:val="20"/>
          <w:szCs w:val="20"/>
        </w:rPr>
        <w:t xml:space="preserve"> </w:t>
      </w:r>
      <w:r w:rsidRPr="00746E47">
        <w:rPr>
          <w:rFonts w:ascii="Georgia Pro" w:hAnsi="Georgia Pro"/>
          <w:sz w:val="20"/>
          <w:szCs w:val="20"/>
        </w:rPr>
        <w:t>SYNNEX</w:t>
      </w:r>
      <w:r w:rsidRPr="00746E47">
        <w:rPr>
          <w:rFonts w:ascii="Georgia Pro" w:hAnsi="Georgia Pro"/>
          <w:spacing w:val="-4"/>
          <w:sz w:val="20"/>
          <w:szCs w:val="20"/>
        </w:rPr>
        <w:t xml:space="preserve"> </w:t>
      </w:r>
      <w:r w:rsidRPr="00746E47">
        <w:rPr>
          <w:rFonts w:ascii="Georgia Pro" w:hAnsi="Georgia Pro"/>
          <w:spacing w:val="-2"/>
          <w:sz w:val="20"/>
          <w:szCs w:val="20"/>
        </w:rPr>
        <w:t>Corporation</w:t>
      </w:r>
    </w:p>
    <w:p w14:paraId="2E672832" w14:textId="622B9EAA" w:rsidR="009E48A6" w:rsidRPr="00746E47" w:rsidRDefault="009E48A6" w:rsidP="00746E47">
      <w:pPr>
        <w:pStyle w:val="BodyText"/>
        <w:spacing w:line="276" w:lineRule="auto"/>
        <w:ind w:left="720"/>
        <w:rPr>
          <w:rFonts w:ascii="Georgia Pro" w:hAnsi="Georgia Pro"/>
          <w:sz w:val="20"/>
          <w:szCs w:val="20"/>
        </w:rPr>
      </w:pPr>
      <w:r w:rsidRPr="00746E47">
        <w:rPr>
          <w:rFonts w:ascii="Georgia Pro" w:hAnsi="Georgia Pro"/>
          <w:spacing w:val="-2"/>
          <w:sz w:val="20"/>
          <w:szCs w:val="20"/>
        </w:rPr>
        <w:t xml:space="preserve">Public Sector </w:t>
      </w:r>
      <w:r w:rsidRPr="00746E47">
        <w:rPr>
          <w:rFonts w:ascii="Georgia Pro" w:hAnsi="Georgia Pro"/>
          <w:sz w:val="20"/>
          <w:szCs w:val="20"/>
        </w:rPr>
        <w:t>Contracts</w:t>
      </w:r>
    </w:p>
    <w:p w14:paraId="56014951" w14:textId="77777777" w:rsidR="00844F6A" w:rsidRPr="00746E47" w:rsidRDefault="009E48A6" w:rsidP="00746E47">
      <w:pPr>
        <w:pStyle w:val="BodyText"/>
        <w:spacing w:line="276" w:lineRule="auto"/>
        <w:ind w:left="720"/>
        <w:rPr>
          <w:rFonts w:ascii="Georgia Pro" w:hAnsi="Georgia Pro"/>
          <w:sz w:val="20"/>
          <w:szCs w:val="20"/>
        </w:rPr>
      </w:pPr>
      <w:r w:rsidRPr="00746E47">
        <w:rPr>
          <w:rFonts w:ascii="Georgia Pro" w:hAnsi="Georgia Pro"/>
          <w:sz w:val="20"/>
          <w:szCs w:val="20"/>
        </w:rPr>
        <w:t xml:space="preserve">5845 Collections Center Dr </w:t>
      </w:r>
    </w:p>
    <w:p w14:paraId="467DE3E6" w14:textId="3E72D279" w:rsidR="009E48A6" w:rsidRPr="00746E47" w:rsidRDefault="009E48A6" w:rsidP="00746E47">
      <w:pPr>
        <w:pStyle w:val="BodyText"/>
        <w:spacing w:line="276" w:lineRule="auto"/>
        <w:ind w:left="720"/>
        <w:rPr>
          <w:rFonts w:ascii="Georgia Pro" w:hAnsi="Georgia Pro"/>
          <w:sz w:val="20"/>
          <w:szCs w:val="20"/>
        </w:rPr>
      </w:pPr>
      <w:r w:rsidRPr="00746E47">
        <w:rPr>
          <w:rFonts w:ascii="Georgia Pro" w:hAnsi="Georgia Pro"/>
          <w:sz w:val="20"/>
          <w:szCs w:val="20"/>
        </w:rPr>
        <w:t>Chicago, IL 60693</w:t>
      </w:r>
    </w:p>
    <w:p w14:paraId="5A086B32" w14:textId="77777777" w:rsidR="009E48A6" w:rsidRPr="00746E47" w:rsidRDefault="009E48A6" w:rsidP="00844F6A">
      <w:pPr>
        <w:pStyle w:val="Heading1"/>
        <w:spacing w:before="0" w:line="276" w:lineRule="auto"/>
        <w:ind w:left="0"/>
        <w:jc w:val="left"/>
        <w:rPr>
          <w:rFonts w:ascii="Georgia Pro" w:hAnsi="Georgia Pro"/>
        </w:rPr>
      </w:pPr>
      <w:bookmarkStart w:id="7" w:name="_Hlk194311807"/>
    </w:p>
    <w:p w14:paraId="54FE9186" w14:textId="77777777" w:rsidR="009E48A6" w:rsidRPr="00746E47" w:rsidRDefault="009E48A6" w:rsidP="00844F6A">
      <w:pPr>
        <w:pStyle w:val="Heading1"/>
        <w:spacing w:before="0" w:line="276" w:lineRule="auto"/>
        <w:ind w:left="0"/>
        <w:jc w:val="left"/>
        <w:rPr>
          <w:rFonts w:ascii="Georgia Pro" w:hAnsi="Georgia Pro"/>
        </w:rPr>
      </w:pPr>
    </w:p>
    <w:p w14:paraId="03246D4F" w14:textId="77777777" w:rsidR="00746E47" w:rsidRPr="00746E47" w:rsidRDefault="00746E47" w:rsidP="00746E47">
      <w:pPr>
        <w:pStyle w:val="BodyText"/>
        <w:spacing w:before="240" w:line="276" w:lineRule="auto"/>
        <w:jc w:val="both"/>
        <w:rPr>
          <w:rFonts w:ascii="Georgia Pro" w:hAnsi="Georgia Pro" w:cstheme="minorHAnsi"/>
          <w:sz w:val="20"/>
          <w:szCs w:val="20"/>
        </w:rPr>
      </w:pPr>
    </w:p>
    <w:p w14:paraId="768B5FC0" w14:textId="5BE534B8" w:rsidR="00746E47" w:rsidRPr="00746E47" w:rsidRDefault="00746E47" w:rsidP="00746E47">
      <w:pPr>
        <w:pStyle w:val="BodyText"/>
        <w:spacing w:before="240" w:line="276" w:lineRule="auto"/>
        <w:jc w:val="both"/>
        <w:rPr>
          <w:rFonts w:ascii="Georgia Pro" w:hAnsi="Georgia Pro" w:cstheme="minorHAnsi"/>
          <w:sz w:val="20"/>
          <w:szCs w:val="20"/>
        </w:rPr>
      </w:pPr>
      <w:r w:rsidRPr="00746E47">
        <w:rPr>
          <w:rFonts w:ascii="Georgia Pro" w:hAnsi="Georgia Pro" w:cstheme="minorHAnsi"/>
          <w:sz w:val="20"/>
          <w:szCs w:val="20"/>
        </w:rPr>
        <w:t xml:space="preserve">ACH/Wire transfer is the preferred method. </w:t>
      </w:r>
    </w:p>
    <w:p w14:paraId="669CD14F" w14:textId="2D936305" w:rsidR="009E48A6" w:rsidRPr="00746E47" w:rsidRDefault="009E48A6" w:rsidP="00746E47">
      <w:pPr>
        <w:pStyle w:val="Heading1"/>
        <w:spacing w:before="0" w:line="276" w:lineRule="auto"/>
        <w:ind w:left="720"/>
        <w:jc w:val="left"/>
        <w:rPr>
          <w:rFonts w:ascii="Georgia Pro" w:hAnsi="Georgia Pro"/>
        </w:rPr>
      </w:pPr>
      <w:r w:rsidRPr="00746E47">
        <w:rPr>
          <w:rFonts w:ascii="Georgia Pro" w:hAnsi="Georgia Pro"/>
        </w:rPr>
        <w:t>EFT/WIRE</w:t>
      </w:r>
      <w:r w:rsidRPr="00746E47">
        <w:rPr>
          <w:rFonts w:ascii="Georgia Pro" w:hAnsi="Georgia Pro"/>
          <w:spacing w:val="-11"/>
        </w:rPr>
        <w:t xml:space="preserve"> </w:t>
      </w:r>
      <w:r w:rsidRPr="00746E47">
        <w:rPr>
          <w:rFonts w:ascii="Georgia Pro" w:hAnsi="Georgia Pro"/>
          <w:spacing w:val="-2"/>
        </w:rPr>
        <w:t>TRANSFER</w:t>
      </w:r>
    </w:p>
    <w:p w14:paraId="2916ACFA" w14:textId="0ECB795D" w:rsidR="009E48A6" w:rsidRPr="00746E47" w:rsidRDefault="009E48A6" w:rsidP="00746E47">
      <w:pPr>
        <w:pStyle w:val="BodyText"/>
        <w:spacing w:line="276" w:lineRule="auto"/>
        <w:ind w:left="720"/>
        <w:rPr>
          <w:rFonts w:ascii="Georgia Pro" w:hAnsi="Georgia Pro"/>
          <w:sz w:val="20"/>
          <w:szCs w:val="20"/>
        </w:rPr>
      </w:pPr>
      <w:r w:rsidRPr="00746E47">
        <w:rPr>
          <w:rFonts w:ascii="Georgia Pro" w:hAnsi="Georgia Pro"/>
          <w:sz w:val="20"/>
          <w:szCs w:val="20"/>
        </w:rPr>
        <w:t>Bank of America</w:t>
      </w:r>
      <w:r w:rsidRPr="00746E47">
        <w:rPr>
          <w:rFonts w:ascii="Georgia Pro" w:hAnsi="Georgia Pro"/>
          <w:spacing w:val="40"/>
          <w:sz w:val="20"/>
          <w:szCs w:val="20"/>
        </w:rPr>
        <w:t xml:space="preserve"> </w:t>
      </w:r>
      <w:r w:rsidRPr="00746E47">
        <w:rPr>
          <w:rFonts w:ascii="Georgia Pro" w:hAnsi="Georgia Pro"/>
          <w:sz w:val="20"/>
          <w:szCs w:val="20"/>
        </w:rPr>
        <w:t>100</w:t>
      </w:r>
      <w:r w:rsidRPr="00746E47">
        <w:rPr>
          <w:rFonts w:ascii="Georgia Pro" w:hAnsi="Georgia Pro"/>
          <w:spacing w:val="-11"/>
          <w:sz w:val="20"/>
          <w:szCs w:val="20"/>
        </w:rPr>
        <w:t xml:space="preserve"> </w:t>
      </w:r>
      <w:r w:rsidRPr="00746E47">
        <w:rPr>
          <w:rFonts w:ascii="Georgia Pro" w:hAnsi="Georgia Pro"/>
          <w:sz w:val="20"/>
          <w:szCs w:val="20"/>
        </w:rPr>
        <w:t>West</w:t>
      </w:r>
      <w:r w:rsidRPr="00746E47">
        <w:rPr>
          <w:rFonts w:ascii="Georgia Pro" w:hAnsi="Georgia Pro"/>
          <w:spacing w:val="-12"/>
          <w:sz w:val="20"/>
          <w:szCs w:val="20"/>
        </w:rPr>
        <w:t xml:space="preserve"> </w:t>
      </w:r>
      <w:r w:rsidRPr="00746E47">
        <w:rPr>
          <w:rFonts w:ascii="Georgia Pro" w:hAnsi="Georgia Pro"/>
          <w:sz w:val="20"/>
          <w:szCs w:val="20"/>
        </w:rPr>
        <w:t>33</w:t>
      </w:r>
      <w:proofErr w:type="spellStart"/>
      <w:r w:rsidRPr="00746E47">
        <w:rPr>
          <w:rFonts w:ascii="Georgia Pro" w:hAnsi="Georgia Pro"/>
          <w:position w:val="6"/>
          <w:sz w:val="20"/>
          <w:szCs w:val="20"/>
          <w:vertAlign w:val="superscript"/>
        </w:rPr>
        <w:t>rd</w:t>
      </w:r>
      <w:proofErr w:type="spellEnd"/>
      <w:r w:rsidR="00844F6A" w:rsidRPr="00746E47">
        <w:rPr>
          <w:rFonts w:ascii="Georgia Pro" w:hAnsi="Georgia Pro"/>
          <w:spacing w:val="5"/>
          <w:position w:val="6"/>
          <w:sz w:val="20"/>
          <w:szCs w:val="20"/>
        </w:rPr>
        <w:t xml:space="preserve"> </w:t>
      </w:r>
      <w:r w:rsidRPr="00746E47">
        <w:rPr>
          <w:rFonts w:ascii="Georgia Pro" w:hAnsi="Georgia Pro"/>
          <w:sz w:val="20"/>
          <w:szCs w:val="20"/>
        </w:rPr>
        <w:t>Street</w:t>
      </w:r>
    </w:p>
    <w:p w14:paraId="65F6AE29" w14:textId="77777777" w:rsidR="009E48A6" w:rsidRPr="00746E47" w:rsidRDefault="009E48A6" w:rsidP="00746E47">
      <w:pPr>
        <w:pStyle w:val="BodyText"/>
        <w:spacing w:line="276" w:lineRule="auto"/>
        <w:ind w:left="720"/>
        <w:rPr>
          <w:rFonts w:ascii="Georgia Pro" w:hAnsi="Georgia Pro"/>
          <w:sz w:val="20"/>
          <w:szCs w:val="20"/>
        </w:rPr>
      </w:pPr>
      <w:r w:rsidRPr="00746E47">
        <w:rPr>
          <w:rFonts w:ascii="Georgia Pro" w:hAnsi="Georgia Pro"/>
          <w:sz w:val="20"/>
          <w:szCs w:val="20"/>
        </w:rPr>
        <w:t>New York, NY</w:t>
      </w:r>
      <w:r w:rsidRPr="00746E47">
        <w:rPr>
          <w:rFonts w:ascii="Georgia Pro" w:hAnsi="Georgia Pro"/>
          <w:spacing w:val="40"/>
          <w:sz w:val="20"/>
          <w:szCs w:val="20"/>
        </w:rPr>
        <w:t xml:space="preserve"> </w:t>
      </w:r>
      <w:r w:rsidRPr="00746E47">
        <w:rPr>
          <w:rFonts w:ascii="Georgia Pro" w:hAnsi="Georgia Pro"/>
          <w:sz w:val="20"/>
          <w:szCs w:val="20"/>
        </w:rPr>
        <w:t xml:space="preserve">10001 </w:t>
      </w:r>
      <w:proofErr w:type="gramStart"/>
      <w:r w:rsidRPr="00746E47">
        <w:rPr>
          <w:rFonts w:ascii="Georgia Pro" w:hAnsi="Georgia Pro"/>
          <w:sz w:val="20"/>
          <w:szCs w:val="20"/>
        </w:rPr>
        <w:t>Routing#</w:t>
      </w:r>
      <w:r w:rsidRPr="00746E47">
        <w:rPr>
          <w:rFonts w:ascii="Georgia Pro" w:hAnsi="Georgia Pro"/>
          <w:spacing w:val="-15"/>
          <w:sz w:val="20"/>
          <w:szCs w:val="20"/>
        </w:rPr>
        <w:t xml:space="preserve"> </w:t>
      </w:r>
      <w:r w:rsidRPr="00746E47">
        <w:rPr>
          <w:rFonts w:ascii="Georgia Pro" w:hAnsi="Georgia Pro"/>
          <w:sz w:val="20"/>
          <w:szCs w:val="20"/>
        </w:rPr>
        <w:t>(</w:t>
      </w:r>
      <w:proofErr w:type="gramEnd"/>
      <w:r w:rsidRPr="00746E47">
        <w:rPr>
          <w:rFonts w:ascii="Georgia Pro" w:hAnsi="Georgia Pro"/>
          <w:sz w:val="20"/>
          <w:szCs w:val="20"/>
        </w:rPr>
        <w:t>Wire):</w:t>
      </w:r>
      <w:r w:rsidRPr="00746E47">
        <w:rPr>
          <w:rFonts w:ascii="Georgia Pro" w:hAnsi="Georgia Pro"/>
          <w:spacing w:val="-12"/>
          <w:sz w:val="20"/>
          <w:szCs w:val="20"/>
        </w:rPr>
        <w:t xml:space="preserve"> </w:t>
      </w:r>
      <w:r w:rsidRPr="00746E47">
        <w:rPr>
          <w:rFonts w:ascii="Georgia Pro" w:hAnsi="Georgia Pro"/>
          <w:sz w:val="20"/>
          <w:szCs w:val="20"/>
        </w:rPr>
        <w:t>026009593</w:t>
      </w:r>
    </w:p>
    <w:p w14:paraId="438455B4" w14:textId="77777777" w:rsidR="009E48A6" w:rsidRPr="00746E47" w:rsidRDefault="009E48A6" w:rsidP="00746E47">
      <w:pPr>
        <w:pStyle w:val="BodyText"/>
        <w:spacing w:line="276" w:lineRule="auto"/>
        <w:ind w:left="720"/>
        <w:rPr>
          <w:rFonts w:ascii="Georgia Pro" w:hAnsi="Georgia Pro"/>
          <w:sz w:val="20"/>
          <w:szCs w:val="20"/>
        </w:rPr>
      </w:pPr>
      <w:proofErr w:type="gramStart"/>
      <w:r w:rsidRPr="00746E47">
        <w:rPr>
          <w:rFonts w:ascii="Georgia Pro" w:hAnsi="Georgia Pro"/>
          <w:sz w:val="20"/>
          <w:szCs w:val="20"/>
        </w:rPr>
        <w:t>Routing#</w:t>
      </w:r>
      <w:r w:rsidRPr="00746E47">
        <w:rPr>
          <w:rFonts w:ascii="Georgia Pro" w:hAnsi="Georgia Pro"/>
          <w:spacing w:val="-6"/>
          <w:sz w:val="20"/>
          <w:szCs w:val="20"/>
        </w:rPr>
        <w:t xml:space="preserve"> </w:t>
      </w:r>
      <w:r w:rsidRPr="00746E47">
        <w:rPr>
          <w:rFonts w:ascii="Georgia Pro" w:hAnsi="Georgia Pro"/>
          <w:sz w:val="20"/>
          <w:szCs w:val="20"/>
        </w:rPr>
        <w:t>(</w:t>
      </w:r>
      <w:proofErr w:type="gramEnd"/>
      <w:r w:rsidRPr="00746E47">
        <w:rPr>
          <w:rFonts w:ascii="Georgia Pro" w:hAnsi="Georgia Pro"/>
          <w:sz w:val="20"/>
          <w:szCs w:val="20"/>
        </w:rPr>
        <w:t>EFT):</w:t>
      </w:r>
      <w:r w:rsidRPr="00746E47">
        <w:rPr>
          <w:rFonts w:ascii="Georgia Pro" w:hAnsi="Georgia Pro"/>
          <w:spacing w:val="-8"/>
          <w:sz w:val="20"/>
          <w:szCs w:val="20"/>
        </w:rPr>
        <w:t xml:space="preserve"> </w:t>
      </w:r>
      <w:r w:rsidRPr="00746E47">
        <w:rPr>
          <w:rFonts w:ascii="Georgia Pro" w:hAnsi="Georgia Pro"/>
          <w:spacing w:val="-2"/>
          <w:sz w:val="20"/>
          <w:szCs w:val="20"/>
        </w:rPr>
        <w:t>121000358</w:t>
      </w:r>
    </w:p>
    <w:p w14:paraId="46D8A911" w14:textId="77777777" w:rsidR="009E48A6" w:rsidRPr="00746E47" w:rsidRDefault="009E48A6" w:rsidP="00746E47">
      <w:pPr>
        <w:pStyle w:val="BodyText"/>
        <w:spacing w:line="276" w:lineRule="auto"/>
        <w:ind w:left="720"/>
        <w:rPr>
          <w:rFonts w:ascii="Georgia Pro" w:hAnsi="Georgia Pro"/>
          <w:sz w:val="20"/>
          <w:szCs w:val="20"/>
        </w:rPr>
      </w:pPr>
      <w:r w:rsidRPr="00746E47">
        <w:rPr>
          <w:rFonts w:ascii="Georgia Pro" w:hAnsi="Georgia Pro"/>
          <w:sz w:val="20"/>
          <w:szCs w:val="20"/>
        </w:rPr>
        <w:t>Acct</w:t>
      </w:r>
      <w:r w:rsidRPr="00746E47">
        <w:rPr>
          <w:rFonts w:ascii="Georgia Pro" w:hAnsi="Georgia Pro"/>
          <w:spacing w:val="-4"/>
          <w:sz w:val="20"/>
          <w:szCs w:val="20"/>
        </w:rPr>
        <w:t xml:space="preserve"> </w:t>
      </w:r>
      <w:r w:rsidRPr="00746E47">
        <w:rPr>
          <w:rFonts w:ascii="Georgia Pro" w:hAnsi="Georgia Pro"/>
          <w:sz w:val="20"/>
          <w:szCs w:val="20"/>
        </w:rPr>
        <w:t>#:</w:t>
      </w:r>
      <w:r w:rsidRPr="00746E47">
        <w:rPr>
          <w:rFonts w:ascii="Georgia Pro" w:hAnsi="Georgia Pro"/>
          <w:spacing w:val="31"/>
          <w:sz w:val="20"/>
          <w:szCs w:val="20"/>
        </w:rPr>
        <w:t xml:space="preserve">  </w:t>
      </w:r>
      <w:r w:rsidRPr="00746E47">
        <w:rPr>
          <w:rFonts w:ascii="Georgia Pro" w:hAnsi="Georgia Pro"/>
          <w:sz w:val="20"/>
          <w:szCs w:val="20"/>
        </w:rPr>
        <w:t>01233935386</w:t>
      </w:r>
    </w:p>
    <w:p w14:paraId="7303129C" w14:textId="718C1E2D" w:rsidR="009E48A6" w:rsidRPr="00746E47" w:rsidRDefault="009E48A6" w:rsidP="00746E47">
      <w:pPr>
        <w:pStyle w:val="BodyText"/>
        <w:spacing w:line="276" w:lineRule="auto"/>
        <w:ind w:left="720"/>
        <w:rPr>
          <w:rFonts w:ascii="Georgia Pro" w:hAnsi="Georgia Pro"/>
          <w:sz w:val="20"/>
          <w:szCs w:val="20"/>
        </w:rPr>
        <w:sectPr w:rsidR="009E48A6" w:rsidRPr="00746E47" w:rsidSect="009E48A6">
          <w:type w:val="continuous"/>
          <w:pgSz w:w="12240" w:h="15840"/>
          <w:pgMar w:top="1980" w:right="1440" w:bottom="1440" w:left="1440" w:header="720" w:footer="720" w:gutter="0"/>
          <w:cols w:num="2" w:space="180"/>
          <w:docGrid w:linePitch="360"/>
        </w:sectPr>
      </w:pPr>
      <w:r w:rsidRPr="00746E47">
        <w:rPr>
          <w:rFonts w:ascii="Georgia Pro" w:hAnsi="Georgia Pro"/>
          <w:sz w:val="20"/>
          <w:szCs w:val="20"/>
        </w:rPr>
        <w:t>Int’l</w:t>
      </w:r>
      <w:r w:rsidRPr="00746E47">
        <w:rPr>
          <w:rFonts w:ascii="Georgia Pro" w:hAnsi="Georgia Pro"/>
          <w:spacing w:val="-2"/>
          <w:sz w:val="20"/>
          <w:szCs w:val="20"/>
        </w:rPr>
        <w:t xml:space="preserve"> </w:t>
      </w:r>
      <w:r w:rsidRPr="00746E47">
        <w:rPr>
          <w:rFonts w:ascii="Georgia Pro" w:hAnsi="Georgia Pro"/>
          <w:sz w:val="20"/>
          <w:szCs w:val="20"/>
        </w:rPr>
        <w:t>EFT(UDS):</w:t>
      </w:r>
      <w:r w:rsidRPr="00746E47">
        <w:rPr>
          <w:rFonts w:ascii="Georgia Pro" w:hAnsi="Georgia Pro"/>
          <w:spacing w:val="50"/>
          <w:sz w:val="20"/>
          <w:szCs w:val="20"/>
        </w:rPr>
        <w:t xml:space="preserve"> </w:t>
      </w:r>
      <w:r w:rsidRPr="00746E47">
        <w:rPr>
          <w:rFonts w:ascii="Georgia Pro" w:hAnsi="Georgia Pro"/>
          <w:spacing w:val="-2"/>
          <w:sz w:val="20"/>
          <w:szCs w:val="20"/>
        </w:rPr>
        <w:t>BOFAUS</w:t>
      </w:r>
      <w:bookmarkEnd w:id="7"/>
      <w:r w:rsidR="00746E47" w:rsidRPr="00746E47">
        <w:rPr>
          <w:rFonts w:ascii="Georgia Pro" w:hAnsi="Georgia Pro"/>
          <w:spacing w:val="-2"/>
          <w:sz w:val="20"/>
          <w:szCs w:val="20"/>
        </w:rPr>
        <w:t>A</w:t>
      </w:r>
    </w:p>
    <w:bookmarkEnd w:id="6"/>
    <w:p w14:paraId="4229EF2C" w14:textId="2EDD3CC6" w:rsidR="009E48A6" w:rsidRDefault="005328C7" w:rsidP="00844F6A">
      <w:pPr>
        <w:pStyle w:val="BodyText"/>
        <w:spacing w:before="240" w:line="276" w:lineRule="auto"/>
        <w:jc w:val="both"/>
        <w:rPr>
          <w:rFonts w:ascii="Georgia Pro" w:hAnsi="Georgia Pro" w:cstheme="minorHAnsi"/>
          <w:sz w:val="20"/>
          <w:szCs w:val="20"/>
        </w:rPr>
      </w:pPr>
      <w:r w:rsidRPr="005328C7">
        <w:rPr>
          <w:rFonts w:ascii="Georgia Pro" w:hAnsi="Georgia Pro" w:cstheme="minorHAnsi"/>
          <w:sz w:val="20"/>
          <w:szCs w:val="20"/>
        </w:rPr>
        <w:t xml:space="preserve">ACH/Wire transfer is the preferred method. </w:t>
      </w:r>
    </w:p>
    <w:bookmarkEnd w:id="5"/>
    <w:p w14:paraId="684000E3" w14:textId="77777777" w:rsidR="00135F1A" w:rsidRPr="00871667" w:rsidRDefault="00135F1A" w:rsidP="005328C7">
      <w:pPr>
        <w:pStyle w:val="SectionHeaders"/>
        <w:spacing w:before="240" w:after="0"/>
        <w:rPr>
          <w:sz w:val="22"/>
          <w:szCs w:val="22"/>
        </w:rPr>
      </w:pPr>
      <w:r w:rsidRPr="00871667">
        <w:rPr>
          <w:sz w:val="22"/>
          <w:szCs w:val="22"/>
        </w:rPr>
        <w:t>Additional Product Offering - Services:</w:t>
      </w:r>
    </w:p>
    <w:p w14:paraId="7A6F02A4" w14:textId="77777777" w:rsidR="00135F1A" w:rsidRPr="00871667" w:rsidRDefault="00135F1A" w:rsidP="005328C7">
      <w:pPr>
        <w:pStyle w:val="Bodycopy"/>
        <w:spacing w:before="240"/>
        <w:jc w:val="both"/>
        <w:rPr>
          <w:sz w:val="20"/>
          <w:szCs w:val="20"/>
        </w:rPr>
      </w:pPr>
      <w:r w:rsidRPr="00871667">
        <w:rPr>
          <w:sz w:val="20"/>
          <w:szCs w:val="20"/>
        </w:rPr>
        <w:t xml:space="preserve">Professional Services/Line Card:  Professional Services may be performed under the contract by TD SYNNEX Authorized Service Providers.  Please reach out to </w:t>
      </w:r>
      <w:r w:rsidRPr="00871667">
        <w:rPr>
          <w:sz w:val="20"/>
          <w:szCs w:val="20"/>
          <w:u w:val="single"/>
        </w:rPr>
        <w:t>fieldservices@TDSYNNEX.com</w:t>
      </w:r>
      <w:r w:rsidRPr="00871667">
        <w:rPr>
          <w:sz w:val="20"/>
          <w:szCs w:val="20"/>
        </w:rPr>
        <w:t xml:space="preserve"> with any questions.</w:t>
      </w:r>
    </w:p>
    <w:p w14:paraId="0FC5494A" w14:textId="77777777" w:rsidR="004241D7" w:rsidRPr="004241D7" w:rsidRDefault="004241D7" w:rsidP="004241D7">
      <w:pPr>
        <w:rPr>
          <w:rFonts w:ascii="Arial" w:eastAsiaTheme="minorHAnsi" w:hAnsi="Arial" w:cs="Arial"/>
          <w:b/>
          <w:bCs/>
          <w:color w:val="005758"/>
          <w:lang w:bidi="ar-SA"/>
        </w:rPr>
      </w:pPr>
      <w:r w:rsidRPr="004241D7">
        <w:rPr>
          <w:rFonts w:ascii="Arial" w:eastAsiaTheme="minorHAnsi" w:hAnsi="Arial" w:cs="Arial"/>
          <w:b/>
          <w:bCs/>
          <w:color w:val="005758"/>
          <w:lang w:bidi="ar-SA"/>
        </w:rPr>
        <w:lastRenderedPageBreak/>
        <w:t>TD SYNNEX Contacts</w:t>
      </w:r>
    </w:p>
    <w:p w14:paraId="1E994B2A" w14:textId="77777777" w:rsidR="004241D7" w:rsidRPr="00645E09" w:rsidRDefault="004241D7" w:rsidP="004241D7">
      <w:pPr>
        <w:rPr>
          <w:rFonts w:cstheme="minorHAnsi"/>
          <w:b/>
          <w:color w:val="000000" w:themeColor="text1"/>
          <w:u w:val="single"/>
        </w:rPr>
      </w:pPr>
    </w:p>
    <w:p w14:paraId="79E55555" w14:textId="595222DB" w:rsidR="004241D7" w:rsidRPr="004241D7" w:rsidRDefault="004241D7" w:rsidP="004241D7">
      <w:pPr>
        <w:rPr>
          <w:rFonts w:ascii="Georgia Pro" w:eastAsiaTheme="minorHAnsi" w:hAnsi="Georgia Pro" w:cs="Arial"/>
          <w:color w:val="171717" w:themeColor="background2" w:themeShade="1A"/>
          <w:sz w:val="20"/>
          <w:szCs w:val="20"/>
          <w:lang w:bidi="ar-SA"/>
        </w:rPr>
      </w:pPr>
      <w:r w:rsidRPr="004241D7">
        <w:rPr>
          <w:rFonts w:ascii="Georgia Pro" w:eastAsiaTheme="minorHAnsi" w:hAnsi="Georgia Pro" w:cs="Arial"/>
          <w:b/>
          <w:bCs/>
          <w:color w:val="171717" w:themeColor="background2" w:themeShade="1A"/>
          <w:sz w:val="20"/>
          <w:szCs w:val="20"/>
          <w:lang w:bidi="ar-SA"/>
        </w:rPr>
        <w:t>Team Contact</w:t>
      </w:r>
      <w:r w:rsidRPr="004241D7">
        <w:rPr>
          <w:rFonts w:ascii="Georgia Pro" w:eastAsiaTheme="minorHAnsi" w:hAnsi="Georgia Pro" w:cs="Arial"/>
          <w:color w:val="171717" w:themeColor="background2" w:themeShade="1A"/>
          <w:sz w:val="20"/>
          <w:szCs w:val="20"/>
          <w:lang w:bidi="ar-SA"/>
        </w:rPr>
        <w:t xml:space="preserve">: </w:t>
      </w:r>
      <w:r w:rsidR="009A1941">
        <w:rPr>
          <w:rFonts w:ascii="Georgia Pro" w:eastAsiaTheme="minorHAnsi" w:hAnsi="Georgia Pro" w:cs="Arial"/>
          <w:color w:val="171717" w:themeColor="background2" w:themeShade="1A"/>
          <w:sz w:val="20"/>
          <w:szCs w:val="20"/>
          <w:lang w:bidi="ar-SA"/>
        </w:rPr>
        <w:t>OMNIA</w:t>
      </w:r>
      <w:r w:rsidRPr="004241D7">
        <w:rPr>
          <w:rFonts w:ascii="Georgia Pro" w:eastAsiaTheme="minorHAnsi" w:hAnsi="Georgia Pro" w:cs="Arial"/>
          <w:color w:val="171717" w:themeColor="background2" w:themeShade="1A"/>
          <w:sz w:val="20"/>
          <w:szCs w:val="20"/>
          <w:lang w:bidi="ar-SA"/>
        </w:rPr>
        <w:t>@</w:t>
      </w:r>
      <w:r w:rsidR="009A1941">
        <w:rPr>
          <w:rFonts w:ascii="Georgia Pro" w:eastAsiaTheme="minorHAnsi" w:hAnsi="Georgia Pro" w:cs="Arial"/>
          <w:color w:val="171717" w:themeColor="background2" w:themeShade="1A"/>
          <w:sz w:val="20"/>
          <w:szCs w:val="20"/>
          <w:lang w:bidi="ar-SA"/>
        </w:rPr>
        <w:t>tdsynnex</w:t>
      </w:r>
      <w:r w:rsidRPr="004241D7">
        <w:rPr>
          <w:rFonts w:ascii="Georgia Pro" w:eastAsiaTheme="minorHAnsi" w:hAnsi="Georgia Pro" w:cs="Arial"/>
          <w:color w:val="171717" w:themeColor="background2" w:themeShade="1A"/>
          <w:sz w:val="20"/>
          <w:szCs w:val="20"/>
          <w:lang w:bidi="ar-SA"/>
        </w:rPr>
        <w:t>.com</w:t>
      </w:r>
    </w:p>
    <w:p w14:paraId="6E079E3B" w14:textId="77777777" w:rsidR="004241D7" w:rsidRPr="004241D7" w:rsidRDefault="004241D7" w:rsidP="004241D7">
      <w:pPr>
        <w:rPr>
          <w:rFonts w:ascii="Georgia Pro" w:eastAsiaTheme="minorHAnsi" w:hAnsi="Georgia Pro" w:cs="Arial"/>
          <w:color w:val="171717" w:themeColor="background2" w:themeShade="1A"/>
          <w:sz w:val="20"/>
          <w:szCs w:val="20"/>
          <w:lang w:bidi="ar-SA"/>
        </w:rPr>
      </w:pPr>
    </w:p>
    <w:p w14:paraId="354E1D1E" w14:textId="77777777" w:rsidR="004241D7" w:rsidRPr="004241D7" w:rsidRDefault="004241D7" w:rsidP="004241D7">
      <w:pPr>
        <w:rPr>
          <w:rFonts w:ascii="Georgia Pro" w:eastAsiaTheme="minorHAnsi" w:hAnsi="Georgia Pro" w:cs="Arial"/>
          <w:color w:val="171717" w:themeColor="background2" w:themeShade="1A"/>
          <w:sz w:val="20"/>
          <w:szCs w:val="20"/>
          <w:lang w:bidi="ar-SA"/>
        </w:rPr>
      </w:pPr>
      <w:r w:rsidRPr="004241D7">
        <w:rPr>
          <w:rFonts w:ascii="Georgia Pro" w:eastAsiaTheme="minorHAnsi" w:hAnsi="Georgia Pro" w:cs="Arial"/>
          <w:b/>
          <w:bCs/>
          <w:color w:val="171717" w:themeColor="background2" w:themeShade="1A"/>
          <w:sz w:val="20"/>
          <w:szCs w:val="20"/>
          <w:lang w:bidi="ar-SA"/>
        </w:rPr>
        <w:t>Contract Manager</w:t>
      </w:r>
      <w:r w:rsidRPr="004241D7">
        <w:rPr>
          <w:rFonts w:ascii="Georgia Pro" w:eastAsiaTheme="minorHAnsi" w:hAnsi="Georgia Pro" w:cs="Arial"/>
          <w:color w:val="171717" w:themeColor="background2" w:themeShade="1A"/>
          <w:sz w:val="20"/>
          <w:szCs w:val="20"/>
          <w:lang w:bidi="ar-SA"/>
        </w:rPr>
        <w:t xml:space="preserve">: </w:t>
      </w:r>
      <w:r>
        <w:rPr>
          <w:rFonts w:ascii="Georgia Pro" w:eastAsiaTheme="minorHAnsi" w:hAnsi="Georgia Pro" w:cs="Arial"/>
          <w:color w:val="171717" w:themeColor="background2" w:themeShade="1A"/>
          <w:sz w:val="20"/>
          <w:szCs w:val="20"/>
          <w:lang w:bidi="ar-SA"/>
        </w:rPr>
        <w:t xml:space="preserve">Jamie Grimm </w:t>
      </w:r>
      <w:hyperlink r:id="rId13" w:history="1">
        <w:r w:rsidRPr="00F95F0C">
          <w:rPr>
            <w:rStyle w:val="Hyperlink"/>
            <w:rFonts w:ascii="Georgia Pro" w:eastAsiaTheme="minorHAnsi" w:hAnsi="Georgia Pro" w:cs="Arial"/>
            <w:sz w:val="20"/>
            <w:szCs w:val="20"/>
            <w:lang w:bidi="ar-SA"/>
          </w:rPr>
          <w:t>Jamie.Grimm@tdsynnex.com</w:t>
        </w:r>
      </w:hyperlink>
      <w:r>
        <w:rPr>
          <w:rFonts w:ascii="Georgia Pro" w:eastAsiaTheme="minorHAnsi" w:hAnsi="Georgia Pro" w:cs="Arial"/>
          <w:color w:val="171717" w:themeColor="background2" w:themeShade="1A"/>
          <w:sz w:val="20"/>
          <w:szCs w:val="20"/>
          <w:lang w:bidi="ar-SA"/>
        </w:rPr>
        <w:t xml:space="preserve"> </w:t>
      </w:r>
    </w:p>
    <w:p w14:paraId="10BFE018" w14:textId="77777777" w:rsidR="004241D7" w:rsidRPr="004241D7" w:rsidRDefault="004241D7" w:rsidP="004241D7">
      <w:pPr>
        <w:rPr>
          <w:rFonts w:ascii="Georgia Pro" w:eastAsiaTheme="minorHAnsi" w:hAnsi="Georgia Pro" w:cs="Arial"/>
          <w:color w:val="171717" w:themeColor="background2" w:themeShade="1A"/>
          <w:sz w:val="20"/>
          <w:szCs w:val="20"/>
          <w:lang w:bidi="ar-SA"/>
        </w:rPr>
      </w:pPr>
    </w:p>
    <w:p w14:paraId="491B39AC" w14:textId="63E83DC6" w:rsidR="00871667" w:rsidRPr="009A1941" w:rsidRDefault="004241D7" w:rsidP="009A1941">
      <w:pPr>
        <w:rPr>
          <w:rFonts w:ascii="Georgia Pro" w:eastAsiaTheme="minorHAnsi" w:hAnsi="Georgia Pro" w:cs="Arial"/>
          <w:color w:val="171717" w:themeColor="background2" w:themeShade="1A"/>
          <w:sz w:val="20"/>
          <w:szCs w:val="20"/>
          <w:lang w:bidi="ar-SA"/>
        </w:rPr>
      </w:pPr>
      <w:r w:rsidRPr="004241D7">
        <w:rPr>
          <w:rFonts w:ascii="Georgia Pro" w:eastAsiaTheme="minorHAnsi" w:hAnsi="Georgia Pro" w:cs="Arial"/>
          <w:b/>
          <w:bCs/>
          <w:color w:val="171717" w:themeColor="background2" w:themeShade="1A"/>
          <w:sz w:val="20"/>
          <w:szCs w:val="20"/>
          <w:lang w:bidi="ar-SA"/>
        </w:rPr>
        <w:t>Website</w:t>
      </w:r>
      <w:r w:rsidRPr="004241D7">
        <w:rPr>
          <w:rFonts w:ascii="Georgia Pro" w:eastAsiaTheme="minorHAnsi" w:hAnsi="Georgia Pro" w:cs="Arial"/>
          <w:color w:val="171717" w:themeColor="background2" w:themeShade="1A"/>
          <w:sz w:val="20"/>
          <w:szCs w:val="20"/>
          <w:lang w:bidi="ar-SA"/>
        </w:rPr>
        <w:t xml:space="preserve">: </w:t>
      </w:r>
      <w:hyperlink r:id="rId14" w:history="1">
        <w:r w:rsidR="009A1941" w:rsidRPr="009A1941">
          <w:rPr>
            <w:rFonts w:ascii="Georgia Pro" w:eastAsiaTheme="minorHAnsi" w:hAnsi="Georgia Pro" w:cs="Arial"/>
            <w:color w:val="171717" w:themeColor="background2" w:themeShade="1A"/>
            <w:sz w:val="20"/>
            <w:szCs w:val="20"/>
            <w:lang w:bidi="ar-SA"/>
          </w:rPr>
          <w:t>https://www.tdsynnex.com/na/us/td-synnex-public-sector/contracts/omnia/</w:t>
        </w:r>
      </w:hyperlink>
    </w:p>
    <w:p w14:paraId="3BD6D1DA" w14:textId="77777777" w:rsidR="009A1941" w:rsidRDefault="009A1941" w:rsidP="009A1941">
      <w:pPr>
        <w:rPr>
          <w:sz w:val="20"/>
          <w:szCs w:val="20"/>
        </w:rPr>
      </w:pPr>
    </w:p>
    <w:p w14:paraId="348067D5" w14:textId="77777777" w:rsidR="004241D7" w:rsidRPr="004241D7" w:rsidRDefault="004241D7" w:rsidP="004241D7">
      <w:pPr>
        <w:pStyle w:val="SectionHeaders"/>
        <w:rPr>
          <w:sz w:val="22"/>
          <w:szCs w:val="22"/>
        </w:rPr>
      </w:pPr>
      <w:r w:rsidRPr="004241D7">
        <w:rPr>
          <w:sz w:val="22"/>
          <w:szCs w:val="22"/>
        </w:rPr>
        <w:t>Marketing</w:t>
      </w:r>
    </w:p>
    <w:p w14:paraId="3D1C22E2" w14:textId="7A5D0098" w:rsidR="004241D7" w:rsidRPr="004241D7" w:rsidRDefault="004241D7" w:rsidP="009A1941">
      <w:pPr>
        <w:pStyle w:val="BodyCopyBullets"/>
        <w:ind w:left="0" w:firstLine="0"/>
        <w:rPr>
          <w:sz w:val="20"/>
          <w:szCs w:val="20"/>
        </w:rPr>
      </w:pPr>
      <w:r w:rsidRPr="004241D7">
        <w:rPr>
          <w:sz w:val="20"/>
          <w:szCs w:val="20"/>
        </w:rPr>
        <w:t xml:space="preserve">There are no restrictions in the marketing of this contract directly to the cooperative members or any eligible agency.  The </w:t>
      </w:r>
      <w:r w:rsidR="00675C86">
        <w:rPr>
          <w:sz w:val="20"/>
          <w:szCs w:val="20"/>
        </w:rPr>
        <w:t xml:space="preserve">OMNIA </w:t>
      </w:r>
      <w:r w:rsidRPr="004241D7">
        <w:rPr>
          <w:sz w:val="20"/>
          <w:szCs w:val="20"/>
        </w:rPr>
        <w:t>Program Office can assist TD SYNNEX and our participating Dealers with their marketing efforts, training and attendance at industry events and TD SYNNEX</w:t>
      </w:r>
      <w:r w:rsidR="00675C86">
        <w:rPr>
          <w:sz w:val="20"/>
          <w:szCs w:val="20"/>
        </w:rPr>
        <w:t xml:space="preserve"> </w:t>
      </w:r>
      <w:r w:rsidRPr="004241D7">
        <w:rPr>
          <w:sz w:val="20"/>
          <w:szCs w:val="20"/>
        </w:rPr>
        <w:t xml:space="preserve">shows.  </w:t>
      </w:r>
    </w:p>
    <w:p w14:paraId="389263EA" w14:textId="48C00378" w:rsidR="009A1941" w:rsidRDefault="00675C86" w:rsidP="009A1941">
      <w:pPr>
        <w:pStyle w:val="BodyCopyBullets"/>
        <w:ind w:left="0" w:firstLine="0"/>
        <w:rPr>
          <w:sz w:val="20"/>
          <w:szCs w:val="20"/>
        </w:rPr>
      </w:pPr>
      <w:r>
        <w:rPr>
          <w:sz w:val="20"/>
          <w:szCs w:val="20"/>
        </w:rPr>
        <w:t>OMNIA</w:t>
      </w:r>
      <w:r w:rsidR="004241D7" w:rsidRPr="004241D7">
        <w:rPr>
          <w:sz w:val="20"/>
          <w:szCs w:val="20"/>
        </w:rPr>
        <w:t xml:space="preserve"> has provided a membership list to assist our dealer organization in the marketing of this contract.  TD SYNNEX will send all Authorized Resellers the membership list </w:t>
      </w:r>
      <w:proofErr w:type="gramStart"/>
      <w:r w:rsidR="004241D7" w:rsidRPr="004241D7">
        <w:rPr>
          <w:sz w:val="20"/>
          <w:szCs w:val="20"/>
        </w:rPr>
        <w:t>on a monthly basis</w:t>
      </w:r>
      <w:proofErr w:type="gramEnd"/>
      <w:r w:rsidR="004241D7" w:rsidRPr="004241D7">
        <w:rPr>
          <w:sz w:val="20"/>
          <w:szCs w:val="20"/>
        </w:rPr>
        <w:t xml:space="preserve">.  </w:t>
      </w:r>
    </w:p>
    <w:p w14:paraId="7B72FD08" w14:textId="753B548E" w:rsidR="004241D7" w:rsidRPr="004241D7" w:rsidRDefault="004241D7" w:rsidP="009A1941">
      <w:pPr>
        <w:pStyle w:val="BodyCopyBullets"/>
        <w:ind w:left="0" w:firstLine="0"/>
        <w:rPr>
          <w:sz w:val="20"/>
          <w:szCs w:val="20"/>
        </w:rPr>
      </w:pPr>
      <w:r w:rsidRPr="004241D7">
        <w:rPr>
          <w:sz w:val="20"/>
          <w:szCs w:val="20"/>
        </w:rPr>
        <w:t xml:space="preserve">Reach out to </w:t>
      </w:r>
      <w:hyperlink r:id="rId15" w:history="1">
        <w:r w:rsidR="009A1941" w:rsidRPr="006739BE">
          <w:rPr>
            <w:rStyle w:val="Hyperlink"/>
            <w:sz w:val="20"/>
            <w:szCs w:val="20"/>
          </w:rPr>
          <w:t>OMNIA@tdsynnex.com</w:t>
        </w:r>
      </w:hyperlink>
      <w:r w:rsidR="009A1941">
        <w:rPr>
          <w:sz w:val="20"/>
          <w:szCs w:val="20"/>
        </w:rPr>
        <w:t xml:space="preserve"> </w:t>
      </w:r>
      <w:r w:rsidRPr="004241D7">
        <w:rPr>
          <w:sz w:val="20"/>
          <w:szCs w:val="20"/>
        </w:rPr>
        <w:t>for contact information.</w:t>
      </w:r>
    </w:p>
    <w:p w14:paraId="0562204F" w14:textId="77777777" w:rsidR="004241D7" w:rsidRPr="004241D7" w:rsidRDefault="004241D7" w:rsidP="009A1941">
      <w:pPr>
        <w:pStyle w:val="BodyCopyBullets"/>
        <w:ind w:left="0" w:firstLine="0"/>
        <w:rPr>
          <w:sz w:val="20"/>
          <w:szCs w:val="20"/>
        </w:rPr>
      </w:pPr>
    </w:p>
    <w:p w14:paraId="207E28AE" w14:textId="6055F850" w:rsidR="004241D7" w:rsidRPr="004241D7" w:rsidRDefault="00675C86" w:rsidP="009A1941">
      <w:pPr>
        <w:pStyle w:val="BodyCopyBullets"/>
        <w:ind w:left="0" w:firstLine="0"/>
        <w:rPr>
          <w:b/>
          <w:sz w:val="20"/>
          <w:szCs w:val="20"/>
        </w:rPr>
      </w:pPr>
      <w:r>
        <w:rPr>
          <w:b/>
          <w:sz w:val="20"/>
          <w:szCs w:val="20"/>
        </w:rPr>
        <w:t>OMNIA contact</w:t>
      </w:r>
      <w:r w:rsidR="004241D7" w:rsidRPr="004241D7">
        <w:rPr>
          <w:b/>
          <w:sz w:val="20"/>
          <w:szCs w:val="20"/>
        </w:rPr>
        <w:t xml:space="preserve"> below available to connect w/ end-user/agencies, qualify them &amp; answer any questions.</w:t>
      </w:r>
    </w:p>
    <w:p w14:paraId="22EB549C" w14:textId="485CD0E6" w:rsidR="004241D7" w:rsidRPr="004241D7" w:rsidRDefault="004241D7" w:rsidP="009A1941">
      <w:pPr>
        <w:pStyle w:val="BodyCopyBullets"/>
        <w:ind w:left="0" w:firstLine="0"/>
        <w:rPr>
          <w:b/>
          <w:sz w:val="20"/>
          <w:szCs w:val="20"/>
          <w:u w:val="single"/>
        </w:rPr>
      </w:pPr>
      <w:r w:rsidRPr="004241D7">
        <w:rPr>
          <w:noProof/>
          <w:sz w:val="20"/>
          <w:szCs w:val="20"/>
        </w:rPr>
        <mc:AlternateContent>
          <mc:Choice Requires="wps">
            <w:drawing>
              <wp:anchor distT="45720" distB="45720" distL="114300" distR="114300" simplePos="0" relativeHeight="251660288" behindDoc="0" locked="0" layoutInCell="1" allowOverlap="1" wp14:anchorId="28D48135" wp14:editId="5FF8CEE2">
                <wp:simplePos x="0" y="0"/>
                <wp:positionH relativeFrom="margin">
                  <wp:posOffset>198120</wp:posOffset>
                </wp:positionH>
                <wp:positionV relativeFrom="paragraph">
                  <wp:posOffset>113030</wp:posOffset>
                </wp:positionV>
                <wp:extent cx="2278380" cy="846455"/>
                <wp:effectExtent l="0" t="0" r="26670" b="1079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8380" cy="846455"/>
                        </a:xfrm>
                        <a:prstGeom prst="rect">
                          <a:avLst/>
                        </a:prstGeom>
                        <a:solidFill>
                          <a:srgbClr val="FFFFFF"/>
                        </a:solidFill>
                        <a:ln w="9525">
                          <a:solidFill>
                            <a:srgbClr val="000000"/>
                          </a:solidFill>
                          <a:miter lim="800000"/>
                          <a:headEnd/>
                          <a:tailEnd/>
                        </a:ln>
                      </wps:spPr>
                      <wps:txbx>
                        <w:txbxContent>
                          <w:p w14:paraId="25EDC721" w14:textId="2C9E12EF" w:rsidR="004241D7" w:rsidRDefault="00675C86" w:rsidP="004241D7">
                            <w:pPr>
                              <w:rPr>
                                <w:rFonts w:cstheme="minorHAnsi"/>
                                <w:b/>
                                <w:bCs/>
                                <w:sz w:val="18"/>
                                <w:szCs w:val="18"/>
                              </w:rPr>
                            </w:pPr>
                            <w:r>
                              <w:rPr>
                                <w:rFonts w:cstheme="minorHAnsi"/>
                                <w:b/>
                                <w:bCs/>
                                <w:sz w:val="18"/>
                                <w:szCs w:val="18"/>
                              </w:rPr>
                              <w:t>Richard McVay</w:t>
                            </w:r>
                          </w:p>
                          <w:p w14:paraId="5C6B06F7" w14:textId="4716C34B" w:rsidR="00675C86" w:rsidRPr="00675C86" w:rsidRDefault="00675C86" w:rsidP="004241D7">
                            <w:pPr>
                              <w:rPr>
                                <w:rFonts w:cstheme="minorHAnsi"/>
                                <w:sz w:val="18"/>
                                <w:szCs w:val="18"/>
                              </w:rPr>
                            </w:pPr>
                            <w:r w:rsidRPr="00675C86">
                              <w:rPr>
                                <w:rFonts w:cstheme="minorHAnsi"/>
                                <w:sz w:val="18"/>
                                <w:szCs w:val="18"/>
                              </w:rPr>
                              <w:t>Sr. Director, IT SME</w:t>
                            </w:r>
                          </w:p>
                          <w:p w14:paraId="204D47F8" w14:textId="11202699" w:rsidR="00675C86" w:rsidRPr="00675C86" w:rsidRDefault="00675C86" w:rsidP="004241D7">
                            <w:pPr>
                              <w:rPr>
                                <w:rFonts w:cstheme="minorHAnsi"/>
                                <w:sz w:val="18"/>
                                <w:szCs w:val="18"/>
                              </w:rPr>
                            </w:pPr>
                            <w:r w:rsidRPr="00675C86">
                              <w:rPr>
                                <w:rFonts w:cstheme="minorHAnsi"/>
                                <w:sz w:val="18"/>
                                <w:szCs w:val="18"/>
                              </w:rPr>
                              <w:t>615-669-2989</w:t>
                            </w:r>
                          </w:p>
                          <w:p w14:paraId="495202B3" w14:textId="55FF05F8" w:rsidR="00675C86" w:rsidRPr="00675C86" w:rsidRDefault="00675C86" w:rsidP="004241D7">
                            <w:pPr>
                              <w:rPr>
                                <w:sz w:val="18"/>
                                <w:szCs w:val="18"/>
                              </w:rPr>
                            </w:pPr>
                            <w:r w:rsidRPr="00675C86">
                              <w:rPr>
                                <w:sz w:val="18"/>
                                <w:szCs w:val="18"/>
                              </w:rPr>
                              <w:t>richard.mcvay@omniapartners.com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8D48135" id="_x0000_t202" coordsize="21600,21600" o:spt="202" path="m,l,21600r21600,l21600,xe">
                <v:stroke joinstyle="miter"/>
                <v:path gradientshapeok="t" o:connecttype="rect"/>
              </v:shapetype>
              <v:shape id="Text Box 2" o:spid="_x0000_s1026" type="#_x0000_t202" style="position:absolute;margin-left:15.6pt;margin-top:8.9pt;width:179.4pt;height:66.6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">
                <v:textbox>
                  <w:txbxContent>
                    <w:p w14:paraId="25EDC721" w14:textId="2C9E12EF" w:rsidR="004241D7" w:rsidRDefault="00675C86" w:rsidP="004241D7">
                      <w:pPr>
                        <w:rPr>
                          <w:rFonts w:cstheme="minorHAnsi"/>
                          <w:b/>
                          <w:bCs/>
                          <w:sz w:val="18"/>
                          <w:szCs w:val="18"/>
                        </w:rPr>
                      </w:pPr>
                      <w:r>
                        <w:rPr>
                          <w:rFonts w:cstheme="minorHAnsi"/>
                          <w:b/>
                          <w:bCs/>
                          <w:sz w:val="18"/>
                          <w:szCs w:val="18"/>
                        </w:rPr>
                        <w:t>Richard McVay</w:t>
                      </w:r>
                    </w:p>
                    <w:p w14:paraId="5C6B06F7" w14:textId="4716C34B" w:rsidR="00675C86" w:rsidRPr="00675C86" w:rsidRDefault="00675C86" w:rsidP="004241D7">
                      <w:pPr>
                        <w:rPr>
                          <w:rFonts w:cstheme="minorHAnsi"/>
                          <w:sz w:val="18"/>
                          <w:szCs w:val="18"/>
                        </w:rPr>
                      </w:pPr>
                      <w:r w:rsidRPr="00675C86">
                        <w:rPr>
                          <w:rFonts w:cstheme="minorHAnsi"/>
                          <w:sz w:val="18"/>
                          <w:szCs w:val="18"/>
                        </w:rPr>
                        <w:t>Sr. Director, IT SME</w:t>
                      </w:r>
                    </w:p>
                    <w:p w14:paraId="204D47F8" w14:textId="11202699" w:rsidR="00675C86" w:rsidRPr="00675C86" w:rsidRDefault="00675C86" w:rsidP="004241D7">
                      <w:pPr>
                        <w:rPr>
                          <w:rFonts w:cstheme="minorHAnsi"/>
                          <w:sz w:val="18"/>
                          <w:szCs w:val="18"/>
                        </w:rPr>
                      </w:pPr>
                      <w:r w:rsidRPr="00675C86">
                        <w:rPr>
                          <w:rFonts w:cstheme="minorHAnsi"/>
                          <w:sz w:val="18"/>
                          <w:szCs w:val="18"/>
                        </w:rPr>
                        <w:t>615-669-2989</w:t>
                      </w:r>
                    </w:p>
                    <w:p w14:paraId="495202B3" w14:textId="55FF05F8" w:rsidR="00675C86" w:rsidRPr="00675C86" w:rsidRDefault="00675C86" w:rsidP="004241D7">
                      <w:pPr>
                        <w:rPr>
                          <w:sz w:val="18"/>
                          <w:szCs w:val="18"/>
                        </w:rPr>
                      </w:pPr>
                      <w:r w:rsidRPr="00675C86">
                        <w:rPr>
                          <w:sz w:val="18"/>
                          <w:szCs w:val="18"/>
                        </w:rPr>
                        <w:t>richard.mcvay@omniapartners.com</w:t>
                      </w:r>
                    </w:p>
                  </w:txbxContent>
                </v:textbox>
                <w10:wrap type="square" anchorx="margin"/>
              </v:shape>
            </w:pict>
          </mc:Fallback>
        </mc:AlternateContent>
      </w:r>
    </w:p>
    <w:p w14:paraId="39199D65" w14:textId="77777777" w:rsidR="004241D7" w:rsidRPr="004241D7" w:rsidRDefault="004241D7" w:rsidP="009A1941">
      <w:pPr>
        <w:pStyle w:val="BodyCopyBullets"/>
        <w:ind w:left="0" w:firstLine="0"/>
        <w:rPr>
          <w:sz w:val="20"/>
          <w:szCs w:val="20"/>
        </w:rPr>
      </w:pPr>
      <w:r w:rsidRPr="004241D7">
        <w:rPr>
          <w:sz w:val="20"/>
          <w:szCs w:val="20"/>
        </w:rPr>
        <w:t xml:space="preserve"> </w:t>
      </w:r>
    </w:p>
    <w:p w14:paraId="26B7F26D" w14:textId="77777777" w:rsidR="004241D7" w:rsidRPr="004241D7" w:rsidRDefault="004241D7" w:rsidP="009A1941">
      <w:pPr>
        <w:pStyle w:val="BodyCopyBullets"/>
        <w:ind w:left="0" w:firstLine="0"/>
        <w:rPr>
          <w:sz w:val="20"/>
          <w:szCs w:val="20"/>
        </w:rPr>
      </w:pPr>
    </w:p>
    <w:p w14:paraId="79DC050E" w14:textId="77777777" w:rsidR="004241D7" w:rsidRPr="004241D7" w:rsidRDefault="004241D7" w:rsidP="009A1941">
      <w:pPr>
        <w:pStyle w:val="BodyCopyBullets"/>
        <w:ind w:left="0" w:firstLine="0"/>
        <w:rPr>
          <w:sz w:val="20"/>
          <w:szCs w:val="20"/>
        </w:rPr>
      </w:pPr>
    </w:p>
    <w:p w14:paraId="08BAD28A" w14:textId="77777777" w:rsidR="004241D7" w:rsidRPr="004241D7" w:rsidRDefault="004241D7" w:rsidP="004241D7">
      <w:pPr>
        <w:pStyle w:val="BodyCopyBullets"/>
        <w:rPr>
          <w:sz w:val="20"/>
          <w:szCs w:val="20"/>
        </w:rPr>
      </w:pPr>
    </w:p>
    <w:p w14:paraId="022BB3B4" w14:textId="77777777" w:rsidR="004241D7" w:rsidRPr="004241D7" w:rsidRDefault="004241D7" w:rsidP="004241D7">
      <w:pPr>
        <w:pStyle w:val="BodyCopyBullets"/>
        <w:rPr>
          <w:sz w:val="20"/>
          <w:szCs w:val="20"/>
        </w:rPr>
      </w:pPr>
    </w:p>
    <w:p w14:paraId="6199C360" w14:textId="77777777" w:rsidR="004241D7" w:rsidRPr="00F4696A" w:rsidRDefault="004241D7" w:rsidP="004241D7">
      <w:pPr>
        <w:pStyle w:val="BodyCopyBullets"/>
        <w:rPr>
          <w:sz w:val="20"/>
          <w:szCs w:val="20"/>
        </w:rPr>
      </w:pPr>
    </w:p>
    <w:sectPr w:rsidR="004241D7" w:rsidRPr="00F4696A" w:rsidSect="009E48A6">
      <w:type w:val="continuous"/>
      <w:pgSz w:w="12240" w:h="15840"/>
      <w:pgMar w:top="19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78FD45" w14:textId="77777777" w:rsidR="00C7649B" w:rsidRDefault="00C7649B" w:rsidP="008128C5">
      <w:r>
        <w:separator/>
      </w:r>
    </w:p>
  </w:endnote>
  <w:endnote w:type="continuationSeparator" w:id="0">
    <w:p w14:paraId="70725738" w14:textId="77777777" w:rsidR="00C7649B" w:rsidRDefault="00C7649B" w:rsidP="008128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Pro">
    <w:charset w:val="00"/>
    <w:family w:val="roman"/>
    <w:pitch w:val="variable"/>
    <w:sig w:usb0="800002AF" w:usb1="00000003" w:usb2="00000000" w:usb3="00000000" w:csb0="000000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ptos" w:hAnsi="Aptos"/>
        <w:color w:val="215868"/>
        <w:sz w:val="18"/>
        <w:szCs w:val="18"/>
      </w:rPr>
      <w:id w:val="393471423"/>
      <w:docPartObj>
        <w:docPartGallery w:val="Page Numbers (Bottom of Page)"/>
        <w:docPartUnique/>
      </w:docPartObj>
    </w:sdtPr>
    <w:sdtEndPr/>
    <w:sdtContent>
      <w:sdt>
        <w:sdtPr>
          <w:rPr>
            <w:rFonts w:ascii="Aptos" w:hAnsi="Aptos"/>
            <w:color w:val="215868"/>
            <w:sz w:val="18"/>
            <w:szCs w:val="18"/>
          </w:rPr>
          <w:id w:val="934632788"/>
          <w:docPartObj>
            <w:docPartGallery w:val="Page Numbers (Top of Page)"/>
            <w:docPartUnique/>
          </w:docPartObj>
        </w:sdtPr>
        <w:sdtEndPr/>
        <w:sdtContent>
          <w:p w14:paraId="1D2B3354" w14:textId="485FE561" w:rsidR="007A6A66" w:rsidRPr="007A6A66" w:rsidRDefault="007A6A66" w:rsidP="007A6A66">
            <w:pPr>
              <w:tabs>
                <w:tab w:val="right" w:pos="11430"/>
              </w:tabs>
              <w:rPr>
                <w:rFonts w:ascii="Aptos" w:hAnsi="Aptos"/>
                <w:color w:val="215868"/>
                <w:sz w:val="18"/>
                <w:szCs w:val="18"/>
              </w:rPr>
            </w:pPr>
            <w:r w:rsidRPr="007A6A66">
              <w:rPr>
                <w:rFonts w:ascii="Aptos" w:hAnsi="Aptos"/>
                <w:color w:val="215868"/>
                <w:sz w:val="18"/>
                <w:szCs w:val="18"/>
              </w:rPr>
              <w:t xml:space="preserve">TDS </w:t>
            </w:r>
            <w:r w:rsidR="00C33BC7">
              <w:rPr>
                <w:rFonts w:ascii="Aptos" w:hAnsi="Aptos"/>
                <w:color w:val="215868"/>
                <w:sz w:val="18"/>
                <w:szCs w:val="18"/>
              </w:rPr>
              <w:t>OMNIA R200803</w:t>
            </w:r>
            <w:r w:rsidRPr="007A6A66">
              <w:rPr>
                <w:rFonts w:ascii="Aptos" w:hAnsi="Aptos"/>
                <w:color w:val="215868"/>
                <w:sz w:val="18"/>
                <w:szCs w:val="18"/>
              </w:rPr>
              <w:t xml:space="preserve"> </w:t>
            </w:r>
            <w:r w:rsidR="005328C7">
              <w:rPr>
                <w:rFonts w:ascii="Aptos" w:hAnsi="Aptos"/>
                <w:color w:val="215868"/>
                <w:sz w:val="18"/>
                <w:szCs w:val="18"/>
              </w:rPr>
              <w:t>Dealer Ordering Instructions</w:t>
            </w:r>
            <w:r w:rsidRPr="007A6A66">
              <w:rPr>
                <w:rFonts w:ascii="Aptos" w:hAnsi="Aptos"/>
                <w:color w:val="215868"/>
                <w:sz w:val="18"/>
                <w:szCs w:val="18"/>
              </w:rPr>
              <w:t xml:space="preserve"> v04</w:t>
            </w:r>
            <w:r w:rsidR="00C33BC7">
              <w:rPr>
                <w:rFonts w:ascii="Aptos" w:hAnsi="Aptos"/>
                <w:color w:val="215868"/>
                <w:sz w:val="18"/>
                <w:szCs w:val="18"/>
              </w:rPr>
              <w:t>10</w:t>
            </w:r>
            <w:r w:rsidRPr="007A6A66">
              <w:rPr>
                <w:rFonts w:ascii="Aptos" w:hAnsi="Aptos"/>
                <w:color w:val="215868"/>
                <w:sz w:val="18"/>
                <w:szCs w:val="18"/>
              </w:rPr>
              <w:t>2025</w:t>
            </w:r>
            <w:r w:rsidRPr="007A6A66">
              <w:rPr>
                <w:rFonts w:ascii="Aptos" w:hAnsi="Aptos"/>
                <w:color w:val="215868"/>
                <w:sz w:val="18"/>
                <w:szCs w:val="18"/>
              </w:rPr>
              <w:tab/>
              <w:t xml:space="preserve">Page </w:t>
            </w:r>
            <w:r w:rsidRPr="007A6A66">
              <w:rPr>
                <w:rFonts w:ascii="Aptos" w:hAnsi="Aptos"/>
                <w:color w:val="215868"/>
                <w:sz w:val="18"/>
                <w:szCs w:val="18"/>
              </w:rPr>
              <w:fldChar w:fldCharType="begin"/>
            </w:r>
            <w:r w:rsidRPr="007A6A66">
              <w:rPr>
                <w:rFonts w:ascii="Aptos" w:hAnsi="Aptos"/>
                <w:color w:val="215868"/>
                <w:sz w:val="18"/>
                <w:szCs w:val="18"/>
              </w:rPr>
              <w:instrText xml:space="preserve"> PAGE </w:instrText>
            </w:r>
            <w:r w:rsidRPr="007A6A66">
              <w:rPr>
                <w:rFonts w:ascii="Aptos" w:hAnsi="Aptos"/>
                <w:color w:val="215868"/>
                <w:sz w:val="18"/>
                <w:szCs w:val="18"/>
              </w:rPr>
              <w:fldChar w:fldCharType="separate"/>
            </w:r>
            <w:r w:rsidRPr="007A6A66">
              <w:rPr>
                <w:rFonts w:ascii="Aptos" w:hAnsi="Aptos"/>
                <w:color w:val="215868"/>
                <w:sz w:val="18"/>
                <w:szCs w:val="18"/>
              </w:rPr>
              <w:t>1</w:t>
            </w:r>
            <w:r w:rsidRPr="007A6A66">
              <w:rPr>
                <w:rFonts w:ascii="Aptos" w:hAnsi="Aptos"/>
                <w:color w:val="215868"/>
                <w:sz w:val="18"/>
                <w:szCs w:val="18"/>
              </w:rPr>
              <w:fldChar w:fldCharType="end"/>
            </w:r>
            <w:r w:rsidRPr="007A6A66">
              <w:rPr>
                <w:rFonts w:ascii="Aptos" w:hAnsi="Aptos"/>
                <w:color w:val="215868"/>
                <w:sz w:val="18"/>
                <w:szCs w:val="18"/>
              </w:rPr>
              <w:t xml:space="preserve"> of </w:t>
            </w:r>
            <w:r w:rsidRPr="007A6A66">
              <w:rPr>
                <w:rFonts w:ascii="Aptos" w:hAnsi="Aptos"/>
                <w:color w:val="215868"/>
                <w:sz w:val="18"/>
                <w:szCs w:val="18"/>
              </w:rPr>
              <w:fldChar w:fldCharType="begin"/>
            </w:r>
            <w:r w:rsidRPr="007A6A66">
              <w:rPr>
                <w:rFonts w:ascii="Aptos" w:hAnsi="Aptos"/>
                <w:color w:val="215868"/>
                <w:sz w:val="18"/>
                <w:szCs w:val="18"/>
              </w:rPr>
              <w:instrText xml:space="preserve"> NUMPAGES  </w:instrText>
            </w:r>
            <w:r w:rsidRPr="007A6A66">
              <w:rPr>
                <w:rFonts w:ascii="Aptos" w:hAnsi="Aptos"/>
                <w:color w:val="215868"/>
                <w:sz w:val="18"/>
                <w:szCs w:val="18"/>
              </w:rPr>
              <w:fldChar w:fldCharType="separate"/>
            </w:r>
            <w:r w:rsidRPr="007A6A66">
              <w:rPr>
                <w:rFonts w:ascii="Aptos" w:hAnsi="Aptos"/>
                <w:color w:val="215868"/>
                <w:sz w:val="18"/>
                <w:szCs w:val="18"/>
              </w:rPr>
              <w:t>8</w:t>
            </w:r>
            <w:r w:rsidRPr="007A6A66">
              <w:rPr>
                <w:rFonts w:ascii="Aptos" w:hAnsi="Aptos"/>
                <w:color w:val="215868"/>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7F5871" w14:textId="77777777" w:rsidR="00C7649B" w:rsidRDefault="00C7649B" w:rsidP="008128C5">
      <w:r>
        <w:separator/>
      </w:r>
    </w:p>
  </w:footnote>
  <w:footnote w:type="continuationSeparator" w:id="0">
    <w:p w14:paraId="4025BFA9" w14:textId="77777777" w:rsidR="00C7649B" w:rsidRDefault="00C7649B" w:rsidP="008128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82196" w14:textId="708436AF" w:rsidR="008128C5" w:rsidRDefault="00B35BCE" w:rsidP="007F5FD1">
    <w:pPr>
      <w:pStyle w:val="Header"/>
      <w:tabs>
        <w:tab w:val="clear" w:pos="4680"/>
        <w:tab w:val="clear" w:pos="9360"/>
        <w:tab w:val="left" w:pos="8415"/>
      </w:tabs>
    </w:pPr>
    <w:r w:rsidRPr="00B35BCE">
      <w:rPr>
        <w:noProof/>
      </w:rPr>
      <w:drawing>
        <wp:anchor distT="0" distB="0" distL="114300" distR="114300" simplePos="0" relativeHeight="251660288" behindDoc="0" locked="0" layoutInCell="1" allowOverlap="1" wp14:anchorId="6732B078" wp14:editId="08B06E1B">
          <wp:simplePos x="0" y="0"/>
          <wp:positionH relativeFrom="column">
            <wp:posOffset>4008120</wp:posOffset>
          </wp:positionH>
          <wp:positionV relativeFrom="paragraph">
            <wp:posOffset>-147955</wp:posOffset>
          </wp:positionV>
          <wp:extent cx="1729740" cy="574217"/>
          <wp:effectExtent l="0" t="0" r="3810" b="0"/>
          <wp:wrapNone/>
          <wp:docPr id="1222584612" name="Picture 1" descr="OMNIA Partners | Portfolio | 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MNIA Partners | Portfolio | TA"/>
                  <pic:cNvPicPr>
                    <a:picLocks noChangeAspect="1" noChangeArrowheads="1"/>
                  </pic:cNvPicPr>
                </pic:nvPicPr>
                <pic:blipFill rotWithShape="1">
                  <a:blip r:embed="rId1">
                    <a:extLst>
                      <a:ext uri="{28A0092B-C50C-407E-A947-70E740481C1C}">
                        <a14:useLocalDpi xmlns:a14="http://schemas.microsoft.com/office/drawing/2010/main" val="0"/>
                      </a:ext>
                    </a:extLst>
                  </a:blip>
                  <a:srcRect t="27464" b="27137"/>
                  <a:stretch/>
                </pic:blipFill>
                <pic:spPr bwMode="auto">
                  <a:xfrm>
                    <a:off x="0" y="0"/>
                    <a:ext cx="1729740" cy="574217"/>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1" locked="0" layoutInCell="1" allowOverlap="1" wp14:anchorId="748EFD39" wp14:editId="34FFE650">
          <wp:simplePos x="0" y="0"/>
          <wp:positionH relativeFrom="margin">
            <wp:posOffset>-213360</wp:posOffset>
          </wp:positionH>
          <wp:positionV relativeFrom="paragraph">
            <wp:posOffset>30480</wp:posOffset>
          </wp:positionV>
          <wp:extent cx="2903675" cy="296545"/>
          <wp:effectExtent l="0" t="0" r="0" b="825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903675" cy="296545"/>
                  </a:xfrm>
                  <a:prstGeom prst="rect">
                    <a:avLst/>
                  </a:prstGeom>
                  <a:noFill/>
                  <a:ln>
                    <a:noFill/>
                  </a:ln>
                </pic:spPr>
              </pic:pic>
            </a:graphicData>
          </a:graphic>
          <wp14:sizeRelH relativeFrom="page">
            <wp14:pctWidth>0</wp14:pctWidth>
          </wp14:sizeRelH>
          <wp14:sizeRelV relativeFrom="page">
            <wp14:pctHeight>0</wp14:pctHeight>
          </wp14:sizeRelV>
        </wp:anchor>
      </w:drawing>
    </w:r>
    <w:r w:rsidR="007F5FD1">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70382109" o:spid="_x0000_i1026" type="#_x0000_t75" style="width:11.25pt;height:11.25pt;visibility:visible;mso-wrap-style:square" o:bullet="t">
        <v:imagedata r:id="rId1" o:title=""/>
      </v:shape>
    </w:pict>
  </w:numPicBullet>
  <w:abstractNum w:abstractNumId="0" w15:restartNumberingAfterBreak="0">
    <w:nsid w:val="09F64794"/>
    <w:multiLevelType w:val="hybridMultilevel"/>
    <w:tmpl w:val="754EC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EA6DCD"/>
    <w:multiLevelType w:val="hybridMultilevel"/>
    <w:tmpl w:val="4DCCDB90"/>
    <w:lvl w:ilvl="0" w:tplc="54CC68C6">
      <w:start w:val="1"/>
      <w:numFmt w:val="bullet"/>
      <w:lvlText w:val=""/>
      <w:lvlPicBulletId w:val="0"/>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463603"/>
    <w:multiLevelType w:val="multilevel"/>
    <w:tmpl w:val="85A81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E327165"/>
    <w:multiLevelType w:val="hybridMultilevel"/>
    <w:tmpl w:val="C43EFDB8"/>
    <w:lvl w:ilvl="0" w:tplc="0130CCF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9F07628"/>
    <w:multiLevelType w:val="hybridMultilevel"/>
    <w:tmpl w:val="7D5A6358"/>
    <w:lvl w:ilvl="0" w:tplc="0130CCF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2045C61"/>
    <w:multiLevelType w:val="hybridMultilevel"/>
    <w:tmpl w:val="6C743EE8"/>
    <w:lvl w:ilvl="0" w:tplc="0130CCF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42826690">
    <w:abstractNumId w:val="3"/>
  </w:num>
  <w:num w:numId="2" w16cid:durableId="400250717">
    <w:abstractNumId w:val="4"/>
  </w:num>
  <w:num w:numId="3" w16cid:durableId="1583681293">
    <w:abstractNumId w:val="5"/>
  </w:num>
  <w:num w:numId="4" w16cid:durableId="1588885863">
    <w:abstractNumId w:val="1"/>
  </w:num>
  <w:num w:numId="5" w16cid:durableId="853491779">
    <w:abstractNumId w:val="0"/>
  </w:num>
  <w:num w:numId="6" w16cid:durableId="14102251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8C5"/>
    <w:rsid w:val="00051DCF"/>
    <w:rsid w:val="00061685"/>
    <w:rsid w:val="0007254B"/>
    <w:rsid w:val="000802A7"/>
    <w:rsid w:val="000F5C6A"/>
    <w:rsid w:val="00135F1A"/>
    <w:rsid w:val="001859E2"/>
    <w:rsid w:val="001C24DD"/>
    <w:rsid w:val="001F16D8"/>
    <w:rsid w:val="0026544D"/>
    <w:rsid w:val="002875A0"/>
    <w:rsid w:val="00297207"/>
    <w:rsid w:val="002F0042"/>
    <w:rsid w:val="002F7CF1"/>
    <w:rsid w:val="003415BB"/>
    <w:rsid w:val="00375798"/>
    <w:rsid w:val="00384FAB"/>
    <w:rsid w:val="003A16C2"/>
    <w:rsid w:val="004241D7"/>
    <w:rsid w:val="004A5E00"/>
    <w:rsid w:val="004D17A5"/>
    <w:rsid w:val="005050B8"/>
    <w:rsid w:val="005321F9"/>
    <w:rsid w:val="005328C7"/>
    <w:rsid w:val="00555C3D"/>
    <w:rsid w:val="00571C22"/>
    <w:rsid w:val="00675C86"/>
    <w:rsid w:val="00697B88"/>
    <w:rsid w:val="006A0A86"/>
    <w:rsid w:val="006C2E95"/>
    <w:rsid w:val="00710A17"/>
    <w:rsid w:val="00725323"/>
    <w:rsid w:val="007309A2"/>
    <w:rsid w:val="00746E47"/>
    <w:rsid w:val="007A6A66"/>
    <w:rsid w:val="007F5FD1"/>
    <w:rsid w:val="00806032"/>
    <w:rsid w:val="008128C5"/>
    <w:rsid w:val="00844F6A"/>
    <w:rsid w:val="00871667"/>
    <w:rsid w:val="00925FA0"/>
    <w:rsid w:val="009A1941"/>
    <w:rsid w:val="009A76C1"/>
    <w:rsid w:val="009E48A6"/>
    <w:rsid w:val="00A211C5"/>
    <w:rsid w:val="00A21646"/>
    <w:rsid w:val="00AA31BD"/>
    <w:rsid w:val="00B35BCE"/>
    <w:rsid w:val="00B83BDB"/>
    <w:rsid w:val="00C123AA"/>
    <w:rsid w:val="00C33BC7"/>
    <w:rsid w:val="00C66EFC"/>
    <w:rsid w:val="00C7649B"/>
    <w:rsid w:val="00C91763"/>
    <w:rsid w:val="00CA37DF"/>
    <w:rsid w:val="00CB0763"/>
    <w:rsid w:val="00D53835"/>
    <w:rsid w:val="00D63D00"/>
    <w:rsid w:val="00D669D2"/>
    <w:rsid w:val="00D90CA6"/>
    <w:rsid w:val="00DC0C08"/>
    <w:rsid w:val="00E634B5"/>
    <w:rsid w:val="00E752D4"/>
    <w:rsid w:val="00EA6E47"/>
    <w:rsid w:val="00F12461"/>
    <w:rsid w:val="00F4696A"/>
    <w:rsid w:val="00F60A7F"/>
    <w:rsid w:val="00F74D22"/>
    <w:rsid w:val="00F96080"/>
    <w:rsid w:val="00FC0A27"/>
    <w:rsid w:val="00FE113D"/>
    <w:rsid w:val="00FF28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2"/>
    </o:shapelayout>
  </w:shapeDefaults>
  <w:decimalSymbol w:val="."/>
  <w:listSeparator w:val=","/>
  <w14:docId w14:val="73049A9F"/>
  <w15:chartTrackingRefBased/>
  <w15:docId w15:val="{95EFB45D-08A6-4708-AFCB-23E64E62E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28C5"/>
    <w:pPr>
      <w:widowControl w:val="0"/>
      <w:autoSpaceDE w:val="0"/>
      <w:autoSpaceDN w:val="0"/>
      <w:spacing w:after="0" w:line="240" w:lineRule="auto"/>
    </w:pPr>
    <w:rPr>
      <w:rFonts w:ascii="Times New Roman" w:eastAsia="Times New Roman" w:hAnsi="Times New Roman" w:cs="Times New Roman"/>
      <w:lang w:bidi="en-US"/>
    </w:rPr>
  </w:style>
  <w:style w:type="paragraph" w:styleId="Heading1">
    <w:name w:val="heading 1"/>
    <w:basedOn w:val="Normal"/>
    <w:link w:val="Heading1Char"/>
    <w:uiPriority w:val="9"/>
    <w:qFormat/>
    <w:rsid w:val="009E48A6"/>
    <w:pPr>
      <w:spacing w:before="1"/>
      <w:ind w:left="1"/>
      <w:jc w:val="center"/>
      <w:outlineLvl w:val="0"/>
    </w:pPr>
    <w:rPr>
      <w:rFonts w:ascii="Arial" w:eastAsia="Arial" w:hAnsi="Arial" w:cs="Arial"/>
      <w:b/>
      <w:bCs/>
      <w:sz w:val="20"/>
      <w:szCs w:val="20"/>
      <w:lang w:bidi="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28C5"/>
    <w:pPr>
      <w:tabs>
        <w:tab w:val="center" w:pos="4680"/>
        <w:tab w:val="right" w:pos="9360"/>
      </w:tabs>
    </w:pPr>
  </w:style>
  <w:style w:type="character" w:customStyle="1" w:styleId="HeaderChar">
    <w:name w:val="Header Char"/>
    <w:basedOn w:val="DefaultParagraphFont"/>
    <w:link w:val="Header"/>
    <w:uiPriority w:val="99"/>
    <w:rsid w:val="008128C5"/>
  </w:style>
  <w:style w:type="paragraph" w:styleId="Footer">
    <w:name w:val="footer"/>
    <w:basedOn w:val="Normal"/>
    <w:link w:val="FooterChar"/>
    <w:uiPriority w:val="99"/>
    <w:unhideWhenUsed/>
    <w:rsid w:val="008128C5"/>
    <w:pPr>
      <w:tabs>
        <w:tab w:val="center" w:pos="4680"/>
        <w:tab w:val="right" w:pos="9360"/>
      </w:tabs>
    </w:pPr>
  </w:style>
  <w:style w:type="character" w:customStyle="1" w:styleId="FooterChar">
    <w:name w:val="Footer Char"/>
    <w:basedOn w:val="DefaultParagraphFont"/>
    <w:link w:val="Footer"/>
    <w:uiPriority w:val="99"/>
    <w:rsid w:val="008128C5"/>
  </w:style>
  <w:style w:type="paragraph" w:styleId="ListParagraph">
    <w:name w:val="List Paragraph"/>
    <w:basedOn w:val="Normal"/>
    <w:uiPriority w:val="34"/>
    <w:qFormat/>
    <w:rsid w:val="008128C5"/>
    <w:pPr>
      <w:ind w:left="236" w:hanging="360"/>
      <w:jc w:val="both"/>
    </w:pPr>
    <w:rPr>
      <w:rFonts w:ascii="Arial" w:eastAsia="Arial" w:hAnsi="Arial" w:cs="Arial"/>
    </w:rPr>
  </w:style>
  <w:style w:type="character" w:styleId="Hyperlink">
    <w:name w:val="Hyperlink"/>
    <w:basedOn w:val="DefaultParagraphFont"/>
    <w:uiPriority w:val="99"/>
    <w:unhideWhenUsed/>
    <w:rsid w:val="008128C5"/>
    <w:rPr>
      <w:color w:val="0563C1" w:themeColor="hyperlink"/>
      <w:u w:val="single"/>
    </w:rPr>
  </w:style>
  <w:style w:type="paragraph" w:customStyle="1" w:styleId="SectionHeaders">
    <w:name w:val="Section Headers"/>
    <w:basedOn w:val="Normal"/>
    <w:qFormat/>
    <w:rsid w:val="008128C5"/>
    <w:pPr>
      <w:widowControl/>
      <w:autoSpaceDE/>
      <w:autoSpaceDN/>
      <w:spacing w:after="160" w:line="259" w:lineRule="auto"/>
    </w:pPr>
    <w:rPr>
      <w:rFonts w:ascii="Arial" w:eastAsiaTheme="minorHAnsi" w:hAnsi="Arial" w:cs="Arial"/>
      <w:b/>
      <w:bCs/>
      <w:color w:val="005758"/>
      <w:sz w:val="32"/>
      <w:szCs w:val="32"/>
      <w:lang w:bidi="ar-SA"/>
    </w:rPr>
  </w:style>
  <w:style w:type="paragraph" w:customStyle="1" w:styleId="Bodycopy">
    <w:name w:val="Body copy"/>
    <w:basedOn w:val="Normal"/>
    <w:qFormat/>
    <w:rsid w:val="008128C5"/>
    <w:pPr>
      <w:widowControl/>
      <w:autoSpaceDE/>
      <w:autoSpaceDN/>
      <w:spacing w:after="240" w:line="360" w:lineRule="auto"/>
    </w:pPr>
    <w:rPr>
      <w:rFonts w:ascii="Georgia Pro" w:eastAsiaTheme="minorHAnsi" w:hAnsi="Georgia Pro" w:cs="Arial"/>
      <w:color w:val="171717" w:themeColor="background2" w:themeShade="1A"/>
      <w:lang w:bidi="ar-SA"/>
    </w:rPr>
  </w:style>
  <w:style w:type="paragraph" w:customStyle="1" w:styleId="BodyCopyBullets">
    <w:name w:val="Body Copy Bullets"/>
    <w:basedOn w:val="Bodycopy"/>
    <w:qFormat/>
    <w:rsid w:val="008128C5"/>
    <w:pPr>
      <w:ind w:left="720" w:hanging="360"/>
    </w:pPr>
  </w:style>
  <w:style w:type="character" w:styleId="UnresolvedMention">
    <w:name w:val="Unresolved Mention"/>
    <w:basedOn w:val="DefaultParagraphFont"/>
    <w:uiPriority w:val="99"/>
    <w:semiHidden/>
    <w:unhideWhenUsed/>
    <w:rsid w:val="00F96080"/>
    <w:rPr>
      <w:color w:val="605E5C"/>
      <w:shd w:val="clear" w:color="auto" w:fill="E1DFDD"/>
    </w:rPr>
  </w:style>
  <w:style w:type="paragraph" w:styleId="NormalWeb">
    <w:name w:val="Normal (Web)"/>
    <w:basedOn w:val="Normal"/>
    <w:uiPriority w:val="99"/>
    <w:semiHidden/>
    <w:unhideWhenUsed/>
    <w:rsid w:val="001C24DD"/>
    <w:pPr>
      <w:widowControl/>
      <w:autoSpaceDE/>
      <w:autoSpaceDN/>
      <w:spacing w:before="100" w:beforeAutospacing="1" w:after="100" w:afterAutospacing="1"/>
    </w:pPr>
    <w:rPr>
      <w:sz w:val="24"/>
      <w:szCs w:val="24"/>
      <w:lang w:bidi="ar-SA"/>
    </w:rPr>
  </w:style>
  <w:style w:type="paragraph" w:styleId="BodyText">
    <w:name w:val="Body Text"/>
    <w:basedOn w:val="Normal"/>
    <w:link w:val="BodyTextChar"/>
    <w:uiPriority w:val="1"/>
    <w:qFormat/>
    <w:rsid w:val="00B83BDB"/>
    <w:rPr>
      <w:rFonts w:ascii="Calibri" w:eastAsia="Calibri" w:hAnsi="Calibri" w:cs="Calibri"/>
      <w:lang w:bidi="ar-SA"/>
    </w:rPr>
  </w:style>
  <w:style w:type="character" w:customStyle="1" w:styleId="BodyTextChar">
    <w:name w:val="Body Text Char"/>
    <w:basedOn w:val="DefaultParagraphFont"/>
    <w:link w:val="BodyText"/>
    <w:uiPriority w:val="1"/>
    <w:rsid w:val="00B83BDB"/>
    <w:rPr>
      <w:rFonts w:ascii="Calibri" w:eastAsia="Calibri" w:hAnsi="Calibri" w:cs="Calibri"/>
    </w:rPr>
  </w:style>
  <w:style w:type="character" w:styleId="FollowedHyperlink">
    <w:name w:val="FollowedHyperlink"/>
    <w:basedOn w:val="DefaultParagraphFont"/>
    <w:uiPriority w:val="99"/>
    <w:semiHidden/>
    <w:unhideWhenUsed/>
    <w:rsid w:val="002F7CF1"/>
    <w:rPr>
      <w:color w:val="954F72" w:themeColor="followedHyperlink"/>
      <w:u w:val="single"/>
    </w:rPr>
  </w:style>
  <w:style w:type="character" w:customStyle="1" w:styleId="Heading1Char">
    <w:name w:val="Heading 1 Char"/>
    <w:basedOn w:val="DefaultParagraphFont"/>
    <w:link w:val="Heading1"/>
    <w:uiPriority w:val="9"/>
    <w:rsid w:val="009E48A6"/>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5635147">
      <w:bodyDiv w:val="1"/>
      <w:marLeft w:val="0"/>
      <w:marRight w:val="0"/>
      <w:marTop w:val="0"/>
      <w:marBottom w:val="0"/>
      <w:divBdr>
        <w:top w:val="none" w:sz="0" w:space="0" w:color="auto"/>
        <w:left w:val="none" w:sz="0" w:space="0" w:color="auto"/>
        <w:bottom w:val="none" w:sz="0" w:space="0" w:color="auto"/>
        <w:right w:val="none" w:sz="0" w:space="0" w:color="auto"/>
      </w:divBdr>
    </w:div>
    <w:div w:id="788012938">
      <w:bodyDiv w:val="1"/>
      <w:marLeft w:val="0"/>
      <w:marRight w:val="0"/>
      <w:marTop w:val="0"/>
      <w:marBottom w:val="0"/>
      <w:divBdr>
        <w:top w:val="none" w:sz="0" w:space="0" w:color="auto"/>
        <w:left w:val="none" w:sz="0" w:space="0" w:color="auto"/>
        <w:bottom w:val="none" w:sz="0" w:space="0" w:color="auto"/>
        <w:right w:val="none" w:sz="0" w:space="0" w:color="auto"/>
      </w:divBdr>
    </w:div>
    <w:div w:id="1508514870">
      <w:bodyDiv w:val="1"/>
      <w:marLeft w:val="0"/>
      <w:marRight w:val="0"/>
      <w:marTop w:val="0"/>
      <w:marBottom w:val="0"/>
      <w:divBdr>
        <w:top w:val="none" w:sz="0" w:space="0" w:color="auto"/>
        <w:left w:val="none" w:sz="0" w:space="0" w:color="auto"/>
        <w:bottom w:val="none" w:sz="0" w:space="0" w:color="auto"/>
        <w:right w:val="none" w:sz="0" w:space="0" w:color="auto"/>
      </w:divBdr>
    </w:div>
    <w:div w:id="1581329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 TargetMode="External"/><Relationship Id="rId13" Type="http://schemas.openxmlformats.org/officeDocument/2006/relationships/hyperlink" Target="mailto:Jamie.Grimm@tdsynnex.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mailto:OMNIA@tdsynnex.com" TargetMode="External"/><Relationship Id="rId10" Type="http://schemas.openxmlformats.org/officeDocument/2006/relationships/hyperlink" Target="https://www.tdsynnex.com/na/us/td-synnex-public-sector/contracts/monthly-contract-reporting/" TargetMode="External"/><Relationship Id="rId4" Type="http://schemas.openxmlformats.org/officeDocument/2006/relationships/settings" Target="settings.xml"/><Relationship Id="rId9" Type="http://schemas.openxmlformats.org/officeDocument/2006/relationships/hyperlink" Target="mailto:OMNIA@tdsynnex.com" TargetMode="External"/><Relationship Id="rId14" Type="http://schemas.openxmlformats.org/officeDocument/2006/relationships/hyperlink" Target="https://www.tdsynnex.com/na/us/td-synnex-public-sector/contracts/omnia/"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B47519-90A2-4522-8DFE-111A42FB08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3</Pages>
  <Words>984</Words>
  <Characters>5609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Lark, Destiny</dc:creator>
  <cp:keywords/>
  <dc:description/>
  <cp:lastModifiedBy>Grimm, Jamie</cp:lastModifiedBy>
  <cp:revision>2</cp:revision>
  <cp:lastPrinted>2025-03-31T20:04:00Z</cp:lastPrinted>
  <dcterms:created xsi:type="dcterms:W3CDTF">2025-08-13T19:51:00Z</dcterms:created>
  <dcterms:modified xsi:type="dcterms:W3CDTF">2025-08-13T19:51:00Z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3c400-78e7-4d42-982d-273adef68ef9_Enabled">
    <vt:lpwstr>true</vt:lpwstr>
  </property>
  <property fmtid="{D5CDD505-2E9C-101B-9397-08002B2CF9AE}" pid="3" name="MSIP_Label_3a23c400-78e7-4d42-982d-273adef68ef9_SetDate">
    <vt:lpwstr>2024-06-14T17:14:35Z</vt:lpwstr>
  </property>
  <property fmtid="{D5CDD505-2E9C-101B-9397-08002B2CF9AE}" pid="4" name="MSIP_Label_3a23c400-78e7-4d42-982d-273adef68ef9_Method">
    <vt:lpwstr>Standard</vt:lpwstr>
  </property>
  <property fmtid="{D5CDD505-2E9C-101B-9397-08002B2CF9AE}" pid="5" name="MSIP_Label_3a23c400-78e7-4d42-982d-273adef68ef9_Name">
    <vt:lpwstr>3a23c400-78e7-4d42-982d-273adef68ef9</vt:lpwstr>
  </property>
  <property fmtid="{D5CDD505-2E9C-101B-9397-08002B2CF9AE}" pid="6" name="MSIP_Label_3a23c400-78e7-4d42-982d-273adef68ef9_SiteId">
    <vt:lpwstr>7fe14ab6-8f5d-4139-84bf-cd8aed0ee6b9</vt:lpwstr>
  </property>
  <property fmtid="{D5CDD505-2E9C-101B-9397-08002B2CF9AE}" pid="7" name="MSIP_Label_3a23c400-78e7-4d42-982d-273adef68ef9_ActionId">
    <vt:lpwstr>02de5ef7-4ebf-4a6f-9a99-bd2629f5be73</vt:lpwstr>
  </property>
  <property fmtid="{D5CDD505-2E9C-101B-9397-08002B2CF9AE}" pid="8" name="MSIP_Label_3a23c400-78e7-4d42-982d-273adef68ef9_ContentBits">
    <vt:lpwstr>0</vt:lpwstr>
  </property>
</Properties>
</file>